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252A3A" w14:textId="77777777" w:rsidR="00105C7C" w:rsidRDefault="00105C7C" w:rsidP="00105C7C">
      <w:pPr>
        <w:rPr>
          <w:lang w:val="en-US"/>
        </w:rPr>
      </w:pPr>
    </w:p>
    <w:tbl>
      <w:tblPr>
        <w:tblStyle w:val="TableGrid"/>
        <w:tblW w:w="10007" w:type="dxa"/>
        <w:jc w:val="center"/>
        <w:tblLook w:val="04A0" w:firstRow="1" w:lastRow="0" w:firstColumn="1" w:lastColumn="0" w:noHBand="0" w:noVBand="1"/>
      </w:tblPr>
      <w:tblGrid>
        <w:gridCol w:w="3335"/>
        <w:gridCol w:w="3335"/>
        <w:gridCol w:w="3337"/>
      </w:tblGrid>
      <w:tr w:rsidR="00105C7C" w:rsidRPr="002B311C" w14:paraId="2FD1E31E" w14:textId="77777777" w:rsidTr="003C3B30">
        <w:trPr>
          <w:trHeight w:val="652"/>
          <w:jc w:val="center"/>
        </w:trPr>
        <w:tc>
          <w:tcPr>
            <w:tcW w:w="3335" w:type="dxa"/>
            <w:tcBorders>
              <w:right w:val="single" w:sz="4" w:space="0" w:color="44546A" w:themeColor="text2"/>
            </w:tcBorders>
            <w:shd w:val="clear" w:color="auto" w:fill="1F3864" w:themeFill="accent1" w:themeFillShade="80"/>
          </w:tcPr>
          <w:p w14:paraId="44D1E26A" w14:textId="77777777" w:rsidR="00105C7C" w:rsidRDefault="00105C7C" w:rsidP="003C3B30">
            <w:pPr>
              <w:jc w:val="center"/>
              <w:rPr>
                <w:rFonts w:cs="Arial"/>
                <w:color w:val="FFFFFF" w:themeColor="background1"/>
                <w:sz w:val="32"/>
                <w:szCs w:val="32"/>
                <w:shd w:val="clear" w:color="auto" w:fill="1F3864" w:themeFill="accent1" w:themeFillShade="80"/>
                <w:lang w:val="en-US"/>
              </w:rPr>
            </w:pPr>
          </w:p>
          <w:p w14:paraId="42E7D35A" w14:textId="3352A012" w:rsidR="00105C7C" w:rsidRPr="00906B87" w:rsidRDefault="00105C7C" w:rsidP="003C3B30">
            <w:pPr>
              <w:jc w:val="center"/>
              <w:rPr>
                <w:rFonts w:cs="Arial"/>
                <w:color w:val="FFFFFF" w:themeColor="background1"/>
                <w:sz w:val="32"/>
                <w:szCs w:val="32"/>
                <w:shd w:val="clear" w:color="auto" w:fill="1F3864" w:themeFill="accent1" w:themeFillShade="80"/>
                <w:lang w:val="en-US"/>
              </w:rPr>
            </w:pPr>
            <w:r w:rsidRPr="00906B87">
              <w:rPr>
                <w:rFonts w:cs="Arial"/>
                <w:color w:val="FFFFFF" w:themeColor="background1"/>
                <w:sz w:val="32"/>
                <w:szCs w:val="32"/>
                <w:shd w:val="clear" w:color="auto" w:fill="1F3864" w:themeFill="accent1" w:themeFillShade="80"/>
                <w:lang w:val="en-US"/>
              </w:rPr>
              <w:t xml:space="preserve">Annual Rule of Law Report - Council of Europe </w:t>
            </w:r>
            <w:r>
              <w:rPr>
                <w:rFonts w:cs="Arial"/>
                <w:color w:val="FFFFFF" w:themeColor="background1"/>
                <w:sz w:val="32"/>
                <w:szCs w:val="32"/>
                <w:shd w:val="clear" w:color="auto" w:fill="1F3864" w:themeFill="accent1" w:themeFillShade="80"/>
                <w:lang w:val="en-US"/>
              </w:rPr>
              <w:t>contribution</w:t>
            </w:r>
          </w:p>
          <w:p w14:paraId="52A3EB2D" w14:textId="77777777" w:rsidR="00105C7C" w:rsidRDefault="00105C7C" w:rsidP="003C3B30">
            <w:pPr>
              <w:rPr>
                <w:lang w:val="en-US"/>
              </w:rPr>
            </w:pPr>
          </w:p>
        </w:tc>
        <w:tc>
          <w:tcPr>
            <w:tcW w:w="3335" w:type="dxa"/>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75820220" w14:textId="77777777" w:rsidR="00105C7C" w:rsidRDefault="00105C7C" w:rsidP="003C3B30">
            <w:pPr>
              <w:rPr>
                <w:lang w:val="en-US"/>
              </w:rPr>
            </w:pPr>
            <w:r>
              <w:rPr>
                <w:noProof/>
              </w:rPr>
              <w:drawing>
                <wp:inline distT="0" distB="0" distL="0" distR="0" wp14:anchorId="74EF2D5D" wp14:editId="16AC434C">
                  <wp:extent cx="1433946" cy="146112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64789" cy="1594444"/>
                          </a:xfrm>
                          <a:prstGeom prst="rect">
                            <a:avLst/>
                          </a:prstGeom>
                          <a:noFill/>
                          <a:ln>
                            <a:noFill/>
                          </a:ln>
                        </pic:spPr>
                      </pic:pic>
                    </a:graphicData>
                  </a:graphic>
                </wp:inline>
              </w:drawing>
            </w:r>
          </w:p>
        </w:tc>
        <w:tc>
          <w:tcPr>
            <w:tcW w:w="3337" w:type="dxa"/>
            <w:tcBorders>
              <w:left w:val="single" w:sz="4" w:space="0" w:color="44546A" w:themeColor="text2"/>
            </w:tcBorders>
            <w:shd w:val="clear" w:color="auto" w:fill="1F3864" w:themeFill="accent1" w:themeFillShade="80"/>
          </w:tcPr>
          <w:p w14:paraId="17986B3B" w14:textId="77777777" w:rsidR="00105C7C" w:rsidRDefault="00105C7C" w:rsidP="003C3B30">
            <w:pPr>
              <w:jc w:val="right"/>
              <w:rPr>
                <w:rFonts w:cs="Arial"/>
                <w:color w:val="FFFFFF" w:themeColor="background1"/>
                <w:sz w:val="22"/>
                <w:szCs w:val="22"/>
                <w:shd w:val="clear" w:color="auto" w:fill="1F3864" w:themeFill="accent1" w:themeFillShade="80"/>
                <w:lang w:val="en-US"/>
              </w:rPr>
            </w:pPr>
          </w:p>
          <w:p w14:paraId="4D567599" w14:textId="77777777" w:rsidR="00105C7C" w:rsidRDefault="00105C7C" w:rsidP="003C3B30">
            <w:pPr>
              <w:jc w:val="right"/>
              <w:rPr>
                <w:rFonts w:cs="Arial"/>
                <w:color w:val="FFFFFF" w:themeColor="background1"/>
                <w:sz w:val="22"/>
                <w:szCs w:val="22"/>
                <w:shd w:val="clear" w:color="auto" w:fill="1F3864" w:themeFill="accent1" w:themeFillShade="80"/>
                <w:lang w:val="en-US"/>
              </w:rPr>
            </w:pPr>
          </w:p>
          <w:p w14:paraId="08EA4D25" w14:textId="77777777" w:rsidR="00105C7C" w:rsidRDefault="00105C7C" w:rsidP="003C3B30">
            <w:pPr>
              <w:jc w:val="center"/>
              <w:rPr>
                <w:rFonts w:cs="Arial"/>
                <w:color w:val="FFFFFF" w:themeColor="background1"/>
                <w:sz w:val="32"/>
                <w:szCs w:val="32"/>
                <w:shd w:val="clear" w:color="auto" w:fill="1F3864" w:themeFill="accent1" w:themeFillShade="80"/>
                <w:lang w:val="en-US"/>
              </w:rPr>
            </w:pPr>
          </w:p>
          <w:p w14:paraId="1F9E40C3" w14:textId="77777777" w:rsidR="00105C7C" w:rsidRDefault="00105C7C" w:rsidP="003C3B30">
            <w:pPr>
              <w:jc w:val="center"/>
              <w:rPr>
                <w:rFonts w:cs="Arial"/>
                <w:color w:val="FFFFFF" w:themeColor="background1"/>
                <w:sz w:val="22"/>
                <w:szCs w:val="22"/>
                <w:shd w:val="clear" w:color="auto" w:fill="1F3864" w:themeFill="accent1" w:themeFillShade="80"/>
                <w:lang w:val="en-US"/>
              </w:rPr>
            </w:pPr>
            <w:r>
              <w:rPr>
                <w:rFonts w:cs="Arial"/>
                <w:color w:val="FFFFFF" w:themeColor="background1"/>
                <w:sz w:val="32"/>
                <w:szCs w:val="32"/>
                <w:shd w:val="clear" w:color="auto" w:fill="1F3864" w:themeFill="accent1" w:themeFillShade="80"/>
                <w:lang w:val="en-US"/>
              </w:rPr>
              <w:t>2023</w:t>
            </w:r>
          </w:p>
          <w:p w14:paraId="152734C9" w14:textId="77777777" w:rsidR="00105C7C" w:rsidRDefault="00105C7C" w:rsidP="003C3B30">
            <w:pPr>
              <w:jc w:val="right"/>
              <w:rPr>
                <w:rFonts w:cs="Arial"/>
                <w:color w:val="FFFFFF" w:themeColor="background1"/>
                <w:sz w:val="22"/>
                <w:szCs w:val="22"/>
                <w:shd w:val="clear" w:color="auto" w:fill="1F3864" w:themeFill="accent1" w:themeFillShade="80"/>
                <w:lang w:val="en-US"/>
              </w:rPr>
            </w:pPr>
          </w:p>
          <w:p w14:paraId="1C20C27C" w14:textId="77777777" w:rsidR="00105C7C" w:rsidRDefault="00105C7C" w:rsidP="003C3B30">
            <w:pPr>
              <w:jc w:val="right"/>
              <w:rPr>
                <w:lang w:val="en-US"/>
              </w:rPr>
            </w:pPr>
          </w:p>
        </w:tc>
      </w:tr>
      <w:tr w:rsidR="00105C7C" w:rsidRPr="00AD76CC" w14:paraId="76E5FD9B" w14:textId="77777777" w:rsidTr="003C3B30">
        <w:trPr>
          <w:trHeight w:val="652"/>
          <w:jc w:val="center"/>
        </w:trPr>
        <w:tc>
          <w:tcPr>
            <w:tcW w:w="10007" w:type="dxa"/>
            <w:gridSpan w:val="3"/>
          </w:tcPr>
          <w:p w14:paraId="2202C819" w14:textId="77777777" w:rsidR="00105C7C" w:rsidRDefault="00105C7C" w:rsidP="003C3B30">
            <w:pPr>
              <w:jc w:val="right"/>
              <w:rPr>
                <w:rFonts w:cstheme="minorHAnsi"/>
                <w:b/>
                <w:bCs/>
                <w:color w:val="002060"/>
                <w:sz w:val="24"/>
                <w:szCs w:val="24"/>
                <w:lang w:val="en-US"/>
              </w:rPr>
            </w:pPr>
          </w:p>
          <w:p w14:paraId="5FC32486" w14:textId="77777777" w:rsidR="00105C7C" w:rsidRPr="002B311C" w:rsidRDefault="00105C7C" w:rsidP="003C3B30">
            <w:pPr>
              <w:jc w:val="right"/>
              <w:rPr>
                <w:rFonts w:cstheme="minorHAnsi"/>
                <w:b/>
                <w:bCs/>
                <w:color w:val="002060"/>
                <w:sz w:val="28"/>
                <w:szCs w:val="28"/>
                <w:lang w:val="en-US"/>
              </w:rPr>
            </w:pPr>
            <w:r w:rsidRPr="002B311C">
              <w:rPr>
                <w:rFonts w:cstheme="minorHAnsi"/>
                <w:b/>
                <w:bCs/>
                <w:color w:val="002060"/>
                <w:sz w:val="28"/>
                <w:szCs w:val="28"/>
                <w:lang w:val="en-US"/>
              </w:rPr>
              <w:t>Directorate General Human Rights and Rule of Law (DG I)</w:t>
            </w:r>
          </w:p>
          <w:p w14:paraId="5C5D006B" w14:textId="77777777" w:rsidR="00105C7C" w:rsidRDefault="00105C7C" w:rsidP="003C3B30">
            <w:pPr>
              <w:rPr>
                <w:rFonts w:cs="Arial"/>
                <w:color w:val="FFFFFF" w:themeColor="background1"/>
                <w:sz w:val="22"/>
                <w:szCs w:val="22"/>
                <w:shd w:val="clear" w:color="auto" w:fill="1F3864" w:themeFill="accent1" w:themeFillShade="80"/>
                <w:lang w:val="en-US"/>
              </w:rPr>
            </w:pPr>
          </w:p>
        </w:tc>
      </w:tr>
    </w:tbl>
    <w:p w14:paraId="703F235C" w14:textId="77777777" w:rsidR="00105C7C" w:rsidRPr="00282225" w:rsidRDefault="00105C7C" w:rsidP="00105C7C">
      <w:pPr>
        <w:rPr>
          <w:lang w:val="en-US"/>
        </w:rPr>
      </w:pPr>
    </w:p>
    <w:p w14:paraId="413C6A98" w14:textId="77777777" w:rsidR="00105C7C" w:rsidRDefault="00105C7C" w:rsidP="00105C7C">
      <w:pPr>
        <w:rPr>
          <w:lang w:val="en-US"/>
        </w:rPr>
      </w:pPr>
    </w:p>
    <w:tbl>
      <w:tblPr>
        <w:tblStyle w:val="TableGrid"/>
        <w:tblW w:w="10008" w:type="dxa"/>
        <w:jc w:val="center"/>
        <w:tblLook w:val="04A0" w:firstRow="1" w:lastRow="0" w:firstColumn="1" w:lastColumn="0" w:noHBand="0" w:noVBand="1"/>
      </w:tblPr>
      <w:tblGrid>
        <w:gridCol w:w="10008"/>
      </w:tblGrid>
      <w:tr w:rsidR="00105C7C" w14:paraId="050EAB0B" w14:textId="77777777" w:rsidTr="003C3B30">
        <w:trPr>
          <w:trHeight w:val="249"/>
          <w:jc w:val="center"/>
        </w:trPr>
        <w:tc>
          <w:tcPr>
            <w:tcW w:w="10008" w:type="dxa"/>
            <w:shd w:val="clear" w:color="auto" w:fill="1F3864" w:themeFill="accent1" w:themeFillShade="80"/>
          </w:tcPr>
          <w:p w14:paraId="45D231E5" w14:textId="77777777" w:rsidR="00105C7C" w:rsidRDefault="00105C7C" w:rsidP="003C3B30">
            <w:pPr>
              <w:rPr>
                <w:lang w:val="en-US"/>
              </w:rPr>
            </w:pPr>
          </w:p>
          <w:p w14:paraId="2BD0EE84" w14:textId="617B3738" w:rsidR="00105C7C" w:rsidRPr="006D3771" w:rsidRDefault="00105C7C" w:rsidP="003C3B30">
            <w:pPr>
              <w:jc w:val="center"/>
              <w:rPr>
                <w:sz w:val="32"/>
                <w:szCs w:val="32"/>
                <w:lang w:val="en-US"/>
              </w:rPr>
            </w:pPr>
            <w:r>
              <w:rPr>
                <w:sz w:val="32"/>
                <w:szCs w:val="32"/>
                <w:lang w:val="en-US"/>
              </w:rPr>
              <w:t>General issues</w:t>
            </w:r>
          </w:p>
          <w:p w14:paraId="095B0D02" w14:textId="77777777" w:rsidR="00105C7C" w:rsidRDefault="00105C7C" w:rsidP="003C3B30">
            <w:pPr>
              <w:rPr>
                <w:lang w:val="en-US"/>
              </w:rPr>
            </w:pPr>
          </w:p>
        </w:tc>
      </w:tr>
    </w:tbl>
    <w:p w14:paraId="1DBDC9F0" w14:textId="77777777" w:rsidR="00105C7C" w:rsidRDefault="00105C7C">
      <w:pPr>
        <w:rPr>
          <w:shd w:val="clear" w:color="auto" w:fill="FFFF00"/>
        </w:rPr>
      </w:pPr>
    </w:p>
    <w:p w14:paraId="0235BC0A" w14:textId="01B00013" w:rsidR="00105C7C" w:rsidRPr="00105C7C" w:rsidRDefault="00105C7C" w:rsidP="00105C7C">
      <w:pPr>
        <w:rPr>
          <w:rFonts w:asciiTheme="majorHAnsi" w:eastAsiaTheme="majorEastAsia" w:hAnsiTheme="majorHAnsi" w:cstheme="majorBidi"/>
          <w:color w:val="2F5496" w:themeColor="accent1" w:themeShade="BF"/>
          <w:sz w:val="32"/>
          <w:szCs w:val="32"/>
          <w:lang w:val="en-US"/>
        </w:rPr>
      </w:pPr>
      <w:r>
        <w:rPr>
          <w:rFonts w:asciiTheme="majorHAnsi" w:eastAsiaTheme="majorEastAsia" w:hAnsiTheme="majorHAnsi" w:cstheme="majorBidi"/>
          <w:color w:val="2F5496" w:themeColor="accent1" w:themeShade="BF"/>
          <w:sz w:val="32"/>
          <w:szCs w:val="32"/>
          <w:lang w:val="en-US"/>
        </w:rPr>
        <w:t>I J</w:t>
      </w:r>
      <w:r w:rsidRPr="00105C7C">
        <w:rPr>
          <w:rFonts w:asciiTheme="majorHAnsi" w:eastAsiaTheme="majorEastAsia" w:hAnsiTheme="majorHAnsi" w:cstheme="majorBidi"/>
          <w:color w:val="2F5496" w:themeColor="accent1" w:themeShade="BF"/>
          <w:sz w:val="32"/>
          <w:szCs w:val="32"/>
          <w:lang w:val="en-US"/>
        </w:rPr>
        <w:t xml:space="preserve">ustice </w:t>
      </w:r>
      <w:r>
        <w:rPr>
          <w:rFonts w:asciiTheme="majorHAnsi" w:eastAsiaTheme="majorEastAsia" w:hAnsiTheme="majorHAnsi" w:cstheme="majorBidi"/>
          <w:color w:val="2F5496" w:themeColor="accent1" w:themeShade="BF"/>
          <w:sz w:val="32"/>
          <w:szCs w:val="32"/>
          <w:lang w:val="en-US"/>
        </w:rPr>
        <w:t>S</w:t>
      </w:r>
      <w:r w:rsidRPr="00105C7C">
        <w:rPr>
          <w:rFonts w:asciiTheme="majorHAnsi" w:eastAsiaTheme="majorEastAsia" w:hAnsiTheme="majorHAnsi" w:cstheme="majorBidi"/>
          <w:color w:val="2F5496" w:themeColor="accent1" w:themeShade="BF"/>
          <w:sz w:val="32"/>
          <w:szCs w:val="32"/>
          <w:lang w:val="en-US"/>
        </w:rPr>
        <w:t>ystems</w:t>
      </w:r>
    </w:p>
    <w:p w14:paraId="4CF1C750" w14:textId="1351FC3E" w:rsidR="00105C7C" w:rsidRDefault="00105C7C" w:rsidP="00105C7C">
      <w:pPr>
        <w:rPr>
          <w:rFonts w:asciiTheme="majorHAnsi" w:eastAsiaTheme="majorEastAsia" w:hAnsiTheme="majorHAnsi" w:cstheme="majorBidi"/>
          <w:color w:val="2F5496" w:themeColor="accent1" w:themeShade="BF"/>
          <w:sz w:val="32"/>
          <w:szCs w:val="32"/>
          <w:lang w:val="en-US"/>
        </w:rPr>
      </w:pPr>
    </w:p>
    <w:p w14:paraId="4114ABFE" w14:textId="77777777" w:rsidR="00105C7C" w:rsidRDefault="00105C7C" w:rsidP="00105C7C">
      <w:pPr>
        <w:pStyle w:val="Default"/>
        <w:jc w:val="both"/>
        <w:rPr>
          <w:color w:val="auto"/>
          <w:sz w:val="20"/>
          <w:szCs w:val="20"/>
          <w:lang w:val="en-US"/>
        </w:rPr>
      </w:pPr>
      <w:r w:rsidRPr="009C1856">
        <w:rPr>
          <w:color w:val="auto"/>
          <w:sz w:val="20"/>
          <w:szCs w:val="20"/>
          <w:lang w:val="en-US"/>
        </w:rPr>
        <w:t xml:space="preserve">The European Commission for the Efficiency of Justice (CEPEJ) regularly collects data on judicial systems. These data concern </w:t>
      </w:r>
      <w:proofErr w:type="gramStart"/>
      <w:r w:rsidRPr="009C1856">
        <w:rPr>
          <w:color w:val="auto"/>
          <w:sz w:val="20"/>
          <w:szCs w:val="20"/>
          <w:lang w:val="en-US"/>
        </w:rPr>
        <w:t>in particular the</w:t>
      </w:r>
      <w:proofErr w:type="gramEnd"/>
      <w:r w:rsidRPr="009C1856">
        <w:rPr>
          <w:color w:val="auto"/>
          <w:sz w:val="20"/>
          <w:szCs w:val="20"/>
          <w:lang w:val="en-US"/>
        </w:rPr>
        <w:t xml:space="preserve"> “quality of justice”, “efficiency of justice systems” and also some aspects of “</w:t>
      </w:r>
      <w:r w:rsidRPr="00105C7C">
        <w:rPr>
          <w:color w:val="auto"/>
          <w:sz w:val="20"/>
          <w:szCs w:val="20"/>
          <w:lang w:val="en-US"/>
        </w:rPr>
        <w:t xml:space="preserve">independence”. </w:t>
      </w:r>
    </w:p>
    <w:p w14:paraId="0076F4CD" w14:textId="77777777" w:rsidR="00105C7C" w:rsidRDefault="00105C7C" w:rsidP="00105C7C">
      <w:pPr>
        <w:pStyle w:val="Default"/>
        <w:jc w:val="both"/>
        <w:rPr>
          <w:color w:val="auto"/>
          <w:sz w:val="20"/>
          <w:szCs w:val="20"/>
          <w:lang w:val="en-US"/>
        </w:rPr>
      </w:pPr>
    </w:p>
    <w:p w14:paraId="44971E1C" w14:textId="1980E251" w:rsidR="00105C7C" w:rsidRPr="00105C7C" w:rsidRDefault="00105C7C" w:rsidP="00105C7C">
      <w:pPr>
        <w:pStyle w:val="Default"/>
        <w:jc w:val="both"/>
        <w:rPr>
          <w:rFonts w:eastAsia="Times New Roman"/>
          <w:sz w:val="20"/>
          <w:szCs w:val="20"/>
          <w:lang w:val="en-GB"/>
        </w:rPr>
      </w:pPr>
      <w:r w:rsidRPr="00105C7C">
        <w:rPr>
          <w:rFonts w:eastAsia="Times New Roman"/>
          <w:sz w:val="20"/>
          <w:szCs w:val="20"/>
          <w:lang w:val="en-GB"/>
        </w:rPr>
        <w:t>In 2022, CEPEJ published the European Judicial Systems Evaluation Report – Cycle 2022, based on 2020 data</w:t>
      </w:r>
      <w:r>
        <w:rPr>
          <w:rFonts w:eastAsia="Times New Roman"/>
          <w:sz w:val="20"/>
          <w:szCs w:val="20"/>
          <w:lang w:val="en-GB"/>
        </w:rPr>
        <w:t xml:space="preserve"> </w:t>
      </w:r>
      <w:r w:rsidRPr="00105C7C">
        <w:rPr>
          <w:rFonts w:eastAsia="Times New Roman"/>
          <w:sz w:val="20"/>
          <w:szCs w:val="20"/>
          <w:lang w:val="en-GB"/>
        </w:rPr>
        <w:t>contain</w:t>
      </w:r>
      <w:r>
        <w:rPr>
          <w:rFonts w:eastAsia="Times New Roman"/>
          <w:sz w:val="20"/>
          <w:szCs w:val="20"/>
          <w:lang w:val="en-GB"/>
        </w:rPr>
        <w:t>ing</w:t>
      </w:r>
      <w:r w:rsidRPr="00105C7C">
        <w:rPr>
          <w:rFonts w:eastAsia="Times New Roman"/>
          <w:sz w:val="20"/>
          <w:szCs w:val="20"/>
          <w:lang w:val="en-GB"/>
        </w:rPr>
        <w:t xml:space="preserve"> three different part</w:t>
      </w:r>
      <w:r>
        <w:rPr>
          <w:rFonts w:eastAsia="Times New Roman"/>
          <w:sz w:val="20"/>
          <w:szCs w:val="20"/>
          <w:lang w:val="en-GB"/>
        </w:rPr>
        <w:t>s</w:t>
      </w:r>
      <w:r w:rsidRPr="00105C7C">
        <w:rPr>
          <w:rFonts w:eastAsia="Times New Roman"/>
          <w:sz w:val="20"/>
          <w:szCs w:val="20"/>
          <w:lang w:val="en-GB"/>
        </w:rPr>
        <w:t>:</w:t>
      </w:r>
    </w:p>
    <w:p w14:paraId="746AF7DA" w14:textId="6E9A18DD" w:rsidR="00105C7C" w:rsidRPr="00105C7C" w:rsidRDefault="00105C7C" w:rsidP="00105C7C">
      <w:pPr>
        <w:pStyle w:val="ListParagraph"/>
        <w:ind w:left="0"/>
        <w:rPr>
          <w:rStyle w:val="Hyperlink"/>
          <w:lang w:val="en-GB"/>
        </w:rPr>
      </w:pPr>
      <w:r w:rsidRPr="00105C7C">
        <w:rPr>
          <w:rFonts w:eastAsia="Times New Roman"/>
          <w:lang w:val="en-GB"/>
        </w:rPr>
        <w:t>- “Tables, graphs and analysis” (part 1)</w:t>
      </w:r>
      <w:hyperlink r:id="rId6" w:history="1">
        <w:r w:rsidRPr="00105C7C">
          <w:rPr>
            <w:rStyle w:val="Hyperlink"/>
            <w:rFonts w:eastAsia="Times New Roman"/>
            <w:lang w:val="en-GB"/>
          </w:rPr>
          <w:t xml:space="preserve"> CEPEJ Evaluation Report 2022 - Part 1</w:t>
        </w:r>
      </w:hyperlink>
    </w:p>
    <w:p w14:paraId="46B364AD" w14:textId="77777777" w:rsidR="00105C7C" w:rsidRPr="00105C7C" w:rsidRDefault="00105C7C" w:rsidP="00105C7C">
      <w:pPr>
        <w:pStyle w:val="ListParagraph"/>
        <w:ind w:left="0"/>
        <w:rPr>
          <w:lang w:val="en-US"/>
        </w:rPr>
      </w:pPr>
      <w:r w:rsidRPr="00105C7C">
        <w:rPr>
          <w:rStyle w:val="Hyperlink"/>
          <w:rFonts w:eastAsia="Times New Roman"/>
          <w:lang w:val="en-GB"/>
        </w:rPr>
        <w:t>- “Country profiles” (part 2)</w:t>
      </w:r>
      <w:r w:rsidRPr="00105C7C">
        <w:rPr>
          <w:lang w:val="en-GB"/>
        </w:rPr>
        <w:t xml:space="preserve"> </w:t>
      </w:r>
      <w:hyperlink r:id="rId7" w:history="1">
        <w:r w:rsidRPr="00105C7C">
          <w:rPr>
            <w:rStyle w:val="Hyperlink"/>
            <w:rFonts w:eastAsia="Times New Roman"/>
            <w:lang w:val="en-US"/>
          </w:rPr>
          <w:t xml:space="preserve">CEPEJ Evaluation Report 2022 - Part 2 Country profiles </w:t>
        </w:r>
      </w:hyperlink>
    </w:p>
    <w:p w14:paraId="6B2A0BB3" w14:textId="77777777" w:rsidR="00105C7C" w:rsidRPr="00105C7C" w:rsidRDefault="00105C7C" w:rsidP="00105C7C">
      <w:pPr>
        <w:pStyle w:val="ListParagraph"/>
        <w:ind w:left="0"/>
        <w:rPr>
          <w:rStyle w:val="Hyperlink"/>
          <w:lang w:val="en-GB"/>
        </w:rPr>
      </w:pPr>
      <w:r w:rsidRPr="00105C7C">
        <w:rPr>
          <w:lang w:val="en-GB"/>
        </w:rPr>
        <w:t xml:space="preserve">- CEPEJ Dynamic database of European judicial systems </w:t>
      </w:r>
      <w:hyperlink r:id="rId8" w:history="1">
        <w:r w:rsidRPr="00105C7C">
          <w:rPr>
            <w:rStyle w:val="Hyperlink"/>
            <w:lang w:val="en-GB"/>
          </w:rPr>
          <w:t>CEPEJ-STAT</w:t>
        </w:r>
      </w:hyperlink>
    </w:p>
    <w:p w14:paraId="470FBD79" w14:textId="77777777" w:rsidR="00105C7C" w:rsidRPr="009C1856" w:rsidRDefault="00105C7C" w:rsidP="00105C7C">
      <w:pPr>
        <w:pStyle w:val="ListParagraph"/>
        <w:rPr>
          <w:rStyle w:val="Hyperlink"/>
          <w:lang w:val="en-GB"/>
        </w:rPr>
      </w:pPr>
    </w:p>
    <w:p w14:paraId="41E4B714" w14:textId="145C478F" w:rsidR="00105C7C" w:rsidRPr="009C1856" w:rsidRDefault="00105C7C" w:rsidP="00105C7C">
      <w:pPr>
        <w:rPr>
          <w:rFonts w:eastAsia="Times New Roman"/>
          <w:lang w:val="en-GB"/>
        </w:rPr>
      </w:pPr>
      <w:r w:rsidRPr="009C1856">
        <w:rPr>
          <w:rFonts w:eastAsia="Times New Roman"/>
          <w:lang w:val="en-GB"/>
        </w:rPr>
        <w:t xml:space="preserve">The CEPEJ European Judicial Systems Evaluation Report – Evaluation cycle 2022 (2020 data) – contains “country </w:t>
      </w:r>
      <w:proofErr w:type="gramStart"/>
      <w:r w:rsidRPr="009C1856">
        <w:rPr>
          <w:rFonts w:eastAsia="Times New Roman"/>
          <w:lang w:val="en-GB"/>
        </w:rPr>
        <w:t>profiles“</w:t>
      </w:r>
      <w:r>
        <w:rPr>
          <w:rFonts w:eastAsia="Times New Roman"/>
          <w:lang w:val="en-GB"/>
        </w:rPr>
        <w:t xml:space="preserve"> for</w:t>
      </w:r>
      <w:proofErr w:type="gramEnd"/>
      <w:r w:rsidRPr="009C1856">
        <w:rPr>
          <w:rFonts w:eastAsia="Times New Roman"/>
          <w:lang w:val="en-GB"/>
        </w:rPr>
        <w:t xml:space="preserve"> each Council of Europe Member State</w:t>
      </w:r>
      <w:r>
        <w:rPr>
          <w:rFonts w:eastAsia="Times New Roman"/>
          <w:lang w:val="en-GB"/>
        </w:rPr>
        <w:t xml:space="preserve">. </w:t>
      </w:r>
    </w:p>
    <w:p w14:paraId="6B557A5D" w14:textId="77777777" w:rsidR="00105C7C" w:rsidRPr="009C1856" w:rsidRDefault="00105C7C" w:rsidP="00105C7C">
      <w:pPr>
        <w:pStyle w:val="Default"/>
        <w:jc w:val="both"/>
        <w:rPr>
          <w:color w:val="auto"/>
          <w:sz w:val="20"/>
          <w:szCs w:val="20"/>
          <w:lang w:val="en-US"/>
        </w:rPr>
      </w:pPr>
    </w:p>
    <w:p w14:paraId="49444522" w14:textId="169AD658" w:rsidR="00105C7C" w:rsidRPr="009C1856" w:rsidRDefault="00105C7C" w:rsidP="00105C7C">
      <w:pPr>
        <w:pStyle w:val="Default"/>
        <w:jc w:val="both"/>
        <w:rPr>
          <w:color w:val="auto"/>
          <w:sz w:val="20"/>
          <w:szCs w:val="20"/>
          <w:lang w:val="en-US"/>
        </w:rPr>
      </w:pPr>
      <w:r w:rsidRPr="009C1856">
        <w:rPr>
          <w:color w:val="auto"/>
          <w:sz w:val="20"/>
          <w:szCs w:val="20"/>
          <w:lang w:val="en-US"/>
        </w:rPr>
        <w:t xml:space="preserve">The 2022 data have not been collected and quality checked in 2022. Nevertheless, CEPEJ published also in 2022 country profiles for each EU country, based on 2020 data, and prepared in the framework of CEPEJ Study for the 2022 EU Justice Scoreboard  </w:t>
      </w:r>
    </w:p>
    <w:p w14:paraId="5B1D1339" w14:textId="77777777" w:rsidR="00105C7C" w:rsidRPr="009C1856" w:rsidRDefault="00105C7C" w:rsidP="00105C7C">
      <w:pPr>
        <w:pStyle w:val="Default"/>
        <w:jc w:val="both"/>
        <w:rPr>
          <w:color w:val="auto"/>
          <w:sz w:val="20"/>
          <w:szCs w:val="20"/>
          <w:lang w:val="en-US"/>
        </w:rPr>
      </w:pPr>
    </w:p>
    <w:p w14:paraId="057764CD" w14:textId="77777777" w:rsidR="00105C7C" w:rsidRPr="009C1856" w:rsidRDefault="00105C7C" w:rsidP="00105C7C">
      <w:pPr>
        <w:pStyle w:val="Default"/>
        <w:jc w:val="both"/>
        <w:rPr>
          <w:color w:val="auto"/>
          <w:sz w:val="20"/>
          <w:szCs w:val="20"/>
          <w:lang w:val="en-US"/>
        </w:rPr>
      </w:pPr>
      <w:r w:rsidRPr="009C1856">
        <w:rPr>
          <w:color w:val="auto"/>
          <w:sz w:val="20"/>
          <w:szCs w:val="20"/>
          <w:lang w:val="en-US"/>
        </w:rPr>
        <w:t>The 2021 data have been collected, quality checked and sent to DG-JUST in the framework of 2023 EU Justice Scoreboard. The publication of the country profiles based on 2021 data will depend on final acceptation of the CEPEJ Study by DG-JUST. The CEPEJ Secretariat (</w:t>
      </w:r>
      <w:hyperlink r:id="rId9" w:history="1">
        <w:r w:rsidRPr="009C1856">
          <w:rPr>
            <w:rStyle w:val="Hyperlink"/>
            <w:sz w:val="20"/>
            <w:szCs w:val="20"/>
            <w:lang w:val="en-US"/>
          </w:rPr>
          <w:t>christel.schurrer@coe.int</w:t>
        </w:r>
      </w:hyperlink>
      <w:r w:rsidRPr="009C1856">
        <w:rPr>
          <w:color w:val="auto"/>
          <w:sz w:val="20"/>
          <w:szCs w:val="20"/>
          <w:lang w:val="en-US"/>
        </w:rPr>
        <w:t xml:space="preserve">)  remains at the disposal of European Commission for any question related to these data. </w:t>
      </w:r>
    </w:p>
    <w:p w14:paraId="5062BFF3" w14:textId="77777777" w:rsidR="00105C7C" w:rsidRPr="009C1856" w:rsidRDefault="00105C7C" w:rsidP="00105C7C">
      <w:pPr>
        <w:pStyle w:val="Default"/>
        <w:jc w:val="both"/>
        <w:rPr>
          <w:color w:val="auto"/>
          <w:sz w:val="20"/>
          <w:szCs w:val="20"/>
          <w:lang w:val="en-US"/>
        </w:rPr>
      </w:pPr>
    </w:p>
    <w:p w14:paraId="776A9EF2" w14:textId="4D1D9F6C" w:rsidR="00105C7C" w:rsidRDefault="00105C7C" w:rsidP="00105C7C">
      <w:pPr>
        <w:pStyle w:val="Subtitle"/>
        <w:rPr>
          <w:rStyle w:val="Hyperlink"/>
          <w:rFonts w:eastAsia="Times New Roman"/>
          <w:sz w:val="20"/>
          <w:szCs w:val="20"/>
          <w:lang w:val="en-GB"/>
        </w:rPr>
      </w:pPr>
      <w:r w:rsidRPr="009C1856">
        <w:rPr>
          <w:rFonts w:ascii="Calibri" w:eastAsiaTheme="minorHAnsi" w:hAnsi="Calibri" w:cs="Calibri"/>
          <w:sz w:val="20"/>
          <w:szCs w:val="20"/>
          <w:lang w:val="en-US"/>
        </w:rPr>
        <w:t xml:space="preserve">Information on each country can also be found on the CEPEJ website - including answers to the Evaluation </w:t>
      </w:r>
      <w:proofErr w:type="gramStart"/>
      <w:r w:rsidRPr="009C1856">
        <w:rPr>
          <w:rFonts w:ascii="Calibri" w:eastAsiaTheme="minorHAnsi" w:hAnsi="Calibri" w:cs="Calibri"/>
          <w:sz w:val="20"/>
          <w:szCs w:val="20"/>
          <w:lang w:val="en-US"/>
        </w:rPr>
        <w:t>Scheme :</w:t>
      </w:r>
      <w:proofErr w:type="gramEnd"/>
      <w:r w:rsidRPr="009C1856">
        <w:rPr>
          <w:rFonts w:eastAsia="Times New Roman"/>
          <w:sz w:val="20"/>
          <w:szCs w:val="20"/>
          <w:lang w:val="en-GB"/>
        </w:rPr>
        <w:t xml:space="preserve"> </w:t>
      </w:r>
    </w:p>
    <w:p w14:paraId="5060A9AB" w14:textId="77777777" w:rsidR="00105C7C" w:rsidRDefault="00105C7C" w:rsidP="00105C7C">
      <w:pPr>
        <w:rPr>
          <w:lang w:val="en-GB"/>
        </w:rPr>
      </w:pPr>
    </w:p>
    <w:p w14:paraId="2759D36C" w14:textId="77777777" w:rsidR="00105C7C" w:rsidRDefault="00105C7C" w:rsidP="00105C7C">
      <w:pPr>
        <w:rPr>
          <w:lang w:val="en-US"/>
        </w:rPr>
      </w:pPr>
      <w:r>
        <w:rPr>
          <w:lang w:val="en-US"/>
        </w:rPr>
        <w:t>Contribution from the Children’s Rights Division</w:t>
      </w:r>
    </w:p>
    <w:bookmarkStart w:id="0" w:name="_MON_1735557011"/>
    <w:bookmarkEnd w:id="0"/>
    <w:p w14:paraId="3C10A8F5" w14:textId="07A6CC43" w:rsidR="00105C7C" w:rsidRDefault="00105C7C" w:rsidP="00105C7C">
      <w:pPr>
        <w:rPr>
          <w:lang w:val="en-US"/>
        </w:rPr>
      </w:pPr>
      <w:r>
        <w:rPr>
          <w:lang w:val="en-US"/>
        </w:rPr>
        <w:object w:dxaOrig="1512" w:dyaOrig="984" w14:anchorId="6D7C24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75pt;height:49.15pt" o:ole="">
            <v:imagedata r:id="rId10" o:title=""/>
          </v:shape>
          <o:OLEObject Type="Embed" ProgID="Word.Document.12" ShapeID="_x0000_i1025" DrawAspect="Icon" ObjectID="_1735643323" r:id="rId11">
            <o:FieldCodes>\s</o:FieldCodes>
          </o:OLEObject>
        </w:object>
      </w:r>
    </w:p>
    <w:p w14:paraId="24F6C955" w14:textId="2A96950D" w:rsidR="00105C7C" w:rsidRDefault="00105C7C" w:rsidP="00105C7C">
      <w:pPr>
        <w:rPr>
          <w:lang w:val="en-US"/>
        </w:rPr>
      </w:pPr>
    </w:p>
    <w:p w14:paraId="66D8D812" w14:textId="77777777" w:rsidR="00105C7C" w:rsidRPr="007170BF" w:rsidRDefault="00105C7C" w:rsidP="00105C7C">
      <w:pPr>
        <w:pStyle w:val="COEHeading4"/>
        <w:spacing w:after="0"/>
        <w:ind w:left="0"/>
        <w:jc w:val="left"/>
        <w:rPr>
          <w:rFonts w:asciiTheme="minorHAnsi" w:hAnsiTheme="minorHAnsi" w:cstheme="minorHAnsi"/>
          <w:b w:val="0"/>
          <w:bCs/>
          <w:sz w:val="20"/>
          <w:szCs w:val="20"/>
        </w:rPr>
      </w:pPr>
      <w:bookmarkStart w:id="1" w:name="_Hlk65486542"/>
      <w:r w:rsidRPr="007170BF">
        <w:rPr>
          <w:rFonts w:asciiTheme="minorHAnsi" w:hAnsiTheme="minorHAnsi" w:cstheme="minorHAnsi"/>
          <w:b w:val="0"/>
          <w:bCs/>
          <w:sz w:val="20"/>
          <w:szCs w:val="20"/>
        </w:rPr>
        <w:lastRenderedPageBreak/>
        <w:t xml:space="preserve">European Committee on Legal Cooperation (CDCJ) </w:t>
      </w:r>
    </w:p>
    <w:p w14:paraId="27E62426" w14:textId="77777777" w:rsidR="00105C7C" w:rsidRPr="007170BF" w:rsidRDefault="00AD76CC" w:rsidP="00105C7C">
      <w:pPr>
        <w:pStyle w:val="COEHI"/>
        <w:numPr>
          <w:ilvl w:val="0"/>
          <w:numId w:val="0"/>
        </w:numPr>
        <w:rPr>
          <w:rFonts w:asciiTheme="minorHAnsi" w:hAnsiTheme="minorHAnsi" w:cstheme="minorHAnsi"/>
          <w:bCs/>
          <w:sz w:val="20"/>
          <w:szCs w:val="20"/>
          <w:lang w:val="en-GB" w:eastAsia="en-US"/>
        </w:rPr>
      </w:pPr>
      <w:hyperlink r:id="rId12" w:history="1">
        <w:r w:rsidR="00105C7C" w:rsidRPr="007170BF">
          <w:rPr>
            <w:rStyle w:val="Hyperlink"/>
            <w:rFonts w:asciiTheme="minorHAnsi" w:eastAsiaTheme="majorEastAsia" w:hAnsiTheme="minorHAnsi" w:cstheme="minorHAnsi"/>
            <w:bCs/>
            <w:sz w:val="20"/>
            <w:szCs w:val="20"/>
            <w:lang w:val="en-GB" w:eastAsia="en-US"/>
          </w:rPr>
          <w:t>Report on the review of the implementation of the Council of Europe Plan of Action on Strengthening judicial Independence and Impartiality</w:t>
        </w:r>
      </w:hyperlink>
      <w:r w:rsidR="00105C7C" w:rsidRPr="007170BF">
        <w:rPr>
          <w:rFonts w:asciiTheme="minorHAnsi" w:hAnsiTheme="minorHAnsi" w:cstheme="minorHAnsi"/>
          <w:bCs/>
          <w:sz w:val="20"/>
          <w:szCs w:val="20"/>
          <w:lang w:val="en-GB" w:eastAsia="en-US"/>
        </w:rPr>
        <w:t xml:space="preserve">.  </w:t>
      </w:r>
    </w:p>
    <w:p w14:paraId="43059813" w14:textId="77777777" w:rsidR="00105C7C" w:rsidRPr="007170BF" w:rsidRDefault="00105C7C" w:rsidP="00105C7C">
      <w:pPr>
        <w:pStyle w:val="COEHeading4"/>
        <w:spacing w:after="0"/>
        <w:ind w:left="0"/>
        <w:jc w:val="left"/>
        <w:rPr>
          <w:rFonts w:asciiTheme="minorHAnsi" w:hAnsiTheme="minorHAnsi" w:cstheme="minorHAnsi"/>
          <w:b w:val="0"/>
          <w:bCs/>
          <w:sz w:val="20"/>
          <w:szCs w:val="20"/>
        </w:rPr>
      </w:pPr>
      <w:r w:rsidRPr="007170BF">
        <w:rPr>
          <w:rFonts w:asciiTheme="minorHAnsi" w:hAnsiTheme="minorHAnsi" w:cstheme="minorHAnsi"/>
          <w:b w:val="0"/>
          <w:bCs/>
          <w:sz w:val="20"/>
          <w:szCs w:val="20"/>
        </w:rPr>
        <w:t xml:space="preserve">European Committee on Legal Cooperation (CDCJ) </w:t>
      </w:r>
    </w:p>
    <w:p w14:paraId="48A7FBAD" w14:textId="77777777" w:rsidR="00105C7C" w:rsidRPr="007170BF" w:rsidRDefault="00AD76CC" w:rsidP="00105C7C">
      <w:pPr>
        <w:pStyle w:val="COEHI"/>
        <w:numPr>
          <w:ilvl w:val="0"/>
          <w:numId w:val="0"/>
        </w:numPr>
        <w:rPr>
          <w:sz w:val="20"/>
          <w:szCs w:val="20"/>
          <w:lang w:val="en-GB" w:eastAsia="en-US"/>
        </w:rPr>
      </w:pPr>
      <w:hyperlink r:id="rId13" w:history="1">
        <w:r w:rsidR="00105C7C" w:rsidRPr="007170BF">
          <w:rPr>
            <w:rStyle w:val="Hyperlink"/>
            <w:rFonts w:asciiTheme="minorHAnsi" w:eastAsiaTheme="majorEastAsia" w:hAnsiTheme="minorHAnsi" w:cstheme="minorHAnsi"/>
            <w:sz w:val="20"/>
            <w:szCs w:val="20"/>
            <w:lang w:val="en-GB" w:eastAsia="en-US"/>
          </w:rPr>
          <w:t>Evaluation report on Recommendation CM/</w:t>
        </w:r>
        <w:proofErr w:type="gramStart"/>
        <w:r w:rsidR="00105C7C" w:rsidRPr="007170BF">
          <w:rPr>
            <w:rStyle w:val="Hyperlink"/>
            <w:rFonts w:asciiTheme="minorHAnsi" w:eastAsiaTheme="majorEastAsia" w:hAnsiTheme="minorHAnsi" w:cstheme="minorHAnsi"/>
            <w:sz w:val="20"/>
            <w:szCs w:val="20"/>
            <w:lang w:val="en-GB" w:eastAsia="en-US"/>
          </w:rPr>
          <w:t>Rec(</w:t>
        </w:r>
        <w:proofErr w:type="gramEnd"/>
        <w:r w:rsidR="00105C7C" w:rsidRPr="007170BF">
          <w:rPr>
            <w:rStyle w:val="Hyperlink"/>
            <w:rFonts w:asciiTheme="minorHAnsi" w:eastAsiaTheme="majorEastAsia" w:hAnsiTheme="minorHAnsi" w:cstheme="minorHAnsi"/>
            <w:sz w:val="20"/>
            <w:szCs w:val="20"/>
            <w:lang w:val="en-GB" w:eastAsia="en-US"/>
          </w:rPr>
          <w:t xml:space="preserve">2014)7 if the Committee of Ministers to member States on the protection of </w:t>
        </w:r>
        <w:proofErr w:type="spellStart"/>
        <w:r w:rsidR="00105C7C" w:rsidRPr="007170BF">
          <w:rPr>
            <w:rStyle w:val="Hyperlink"/>
            <w:rFonts w:asciiTheme="minorHAnsi" w:eastAsiaTheme="majorEastAsia" w:hAnsiTheme="minorHAnsi" w:cstheme="minorHAnsi"/>
            <w:sz w:val="20"/>
            <w:szCs w:val="20"/>
            <w:lang w:val="en-GB" w:eastAsia="en-US"/>
          </w:rPr>
          <w:t>whistleblowers</w:t>
        </w:r>
        <w:proofErr w:type="spellEnd"/>
        <w:r w:rsidR="00105C7C" w:rsidRPr="007170BF">
          <w:rPr>
            <w:rStyle w:val="Hyperlink"/>
            <w:rFonts w:asciiTheme="minorHAnsi" w:eastAsiaTheme="majorEastAsia" w:hAnsiTheme="minorHAnsi" w:cstheme="minorHAnsi"/>
            <w:sz w:val="20"/>
            <w:szCs w:val="20"/>
            <w:lang w:val="en-GB" w:eastAsia="en-US"/>
          </w:rPr>
          <w:t>.</w:t>
        </w:r>
      </w:hyperlink>
      <w:r w:rsidR="00105C7C" w:rsidRPr="007170BF">
        <w:rPr>
          <w:sz w:val="20"/>
          <w:szCs w:val="20"/>
          <w:lang w:val="en-GB" w:eastAsia="en-US"/>
        </w:rPr>
        <w:t xml:space="preserve">  </w:t>
      </w:r>
    </w:p>
    <w:p w14:paraId="6F6EEF77" w14:textId="77777777" w:rsidR="00105C7C" w:rsidRPr="007170BF" w:rsidRDefault="00105C7C" w:rsidP="00105C7C">
      <w:pPr>
        <w:pStyle w:val="COEHI"/>
        <w:numPr>
          <w:ilvl w:val="0"/>
          <w:numId w:val="0"/>
        </w:numPr>
        <w:rPr>
          <w:sz w:val="20"/>
          <w:szCs w:val="20"/>
          <w:lang w:val="en-GB"/>
        </w:rPr>
      </w:pPr>
      <w:r w:rsidRPr="007170BF">
        <w:rPr>
          <w:sz w:val="20"/>
          <w:szCs w:val="20"/>
          <w:lang w:val="en-GB" w:eastAsia="en-US"/>
        </w:rPr>
        <w:t xml:space="preserve"> </w:t>
      </w:r>
    </w:p>
    <w:p w14:paraId="0DE59D59" w14:textId="77777777" w:rsidR="00105C7C" w:rsidRPr="007170BF" w:rsidRDefault="00105C7C" w:rsidP="00105C7C">
      <w:pPr>
        <w:pStyle w:val="COEHI"/>
        <w:numPr>
          <w:ilvl w:val="0"/>
          <w:numId w:val="0"/>
        </w:numPr>
        <w:rPr>
          <w:rFonts w:asciiTheme="minorHAnsi" w:hAnsiTheme="minorHAnsi" w:cstheme="minorHAnsi"/>
          <w:sz w:val="20"/>
          <w:szCs w:val="20"/>
          <w:lang w:val="en-GB"/>
        </w:rPr>
      </w:pPr>
      <w:r w:rsidRPr="007170BF">
        <w:rPr>
          <w:rFonts w:asciiTheme="minorHAnsi" w:hAnsiTheme="minorHAnsi" w:cstheme="minorHAnsi"/>
          <w:sz w:val="20"/>
          <w:szCs w:val="20"/>
          <w:lang w:val="en-GB"/>
        </w:rPr>
        <w:t>Consultative Council of European Judges (CCJE)</w:t>
      </w:r>
    </w:p>
    <w:p w14:paraId="3CD20F36" w14:textId="77777777" w:rsidR="00105C7C" w:rsidRPr="007170BF" w:rsidRDefault="00AD76CC" w:rsidP="00105C7C">
      <w:pPr>
        <w:pStyle w:val="xmsonormal"/>
        <w:shd w:val="clear" w:color="auto" w:fill="FFFFFF"/>
        <w:jc w:val="both"/>
        <w:rPr>
          <w:rFonts w:asciiTheme="minorHAnsi" w:hAnsiTheme="minorHAnsi" w:cstheme="minorHAnsi"/>
          <w:sz w:val="20"/>
          <w:szCs w:val="20"/>
          <w:lang w:val="en-GB"/>
        </w:rPr>
      </w:pPr>
      <w:hyperlink r:id="rId14" w:history="1">
        <w:r w:rsidR="00105C7C" w:rsidRPr="007170BF">
          <w:rPr>
            <w:rStyle w:val="Hyperlink"/>
            <w:rFonts w:asciiTheme="minorHAnsi" w:hAnsiTheme="minorHAnsi" w:cstheme="minorHAnsi"/>
            <w:color w:val="0000FF"/>
            <w:sz w:val="20"/>
            <w:szCs w:val="20"/>
            <w:lang w:val="en-GB"/>
          </w:rPr>
          <w:t>CCJE Opinion No. 25 (2022) on freedom of expression of judges</w:t>
        </w:r>
      </w:hyperlink>
      <w:r w:rsidR="00105C7C" w:rsidRPr="007170BF">
        <w:rPr>
          <w:rFonts w:asciiTheme="minorHAnsi" w:hAnsiTheme="minorHAnsi" w:cstheme="minorHAnsi"/>
          <w:color w:val="000000"/>
          <w:sz w:val="20"/>
          <w:szCs w:val="20"/>
          <w:lang w:val="en-GB"/>
        </w:rPr>
        <w:t xml:space="preserve"> </w:t>
      </w:r>
    </w:p>
    <w:p w14:paraId="619E6714" w14:textId="77777777" w:rsidR="00105C7C" w:rsidRPr="007170BF" w:rsidRDefault="00105C7C" w:rsidP="00105C7C">
      <w:pPr>
        <w:pStyle w:val="COEHeading2bis"/>
        <w:spacing w:after="0"/>
        <w:ind w:firstLine="0"/>
        <w:jc w:val="both"/>
        <w:rPr>
          <w:rFonts w:asciiTheme="minorHAnsi" w:hAnsiTheme="minorHAnsi" w:cstheme="minorHAnsi"/>
          <w:sz w:val="20"/>
          <w:szCs w:val="20"/>
          <w:lang w:val="en-GB"/>
        </w:rPr>
      </w:pPr>
      <w:r w:rsidRPr="007170BF">
        <w:rPr>
          <w:rFonts w:asciiTheme="minorHAnsi" w:hAnsiTheme="minorHAnsi" w:cstheme="minorHAnsi"/>
          <w:caps w:val="0"/>
          <w:sz w:val="20"/>
          <w:szCs w:val="20"/>
          <w:lang w:val="en-GB"/>
        </w:rPr>
        <w:t xml:space="preserve">Consultative Council of European Prosecutors </w:t>
      </w:r>
      <w:r w:rsidRPr="007170BF">
        <w:rPr>
          <w:rFonts w:asciiTheme="minorHAnsi" w:hAnsiTheme="minorHAnsi" w:cstheme="minorHAnsi"/>
          <w:sz w:val="20"/>
          <w:szCs w:val="20"/>
          <w:lang w:val="en-GB"/>
        </w:rPr>
        <w:t>(CCPE)</w:t>
      </w:r>
    </w:p>
    <w:p w14:paraId="3B4747E9" w14:textId="344AC0FE" w:rsidR="00105C7C" w:rsidRPr="00105C7C" w:rsidRDefault="00AD76CC" w:rsidP="00105C7C">
      <w:pPr>
        <w:pStyle w:val="Default"/>
        <w:rPr>
          <w:color w:val="auto"/>
          <w:sz w:val="20"/>
          <w:szCs w:val="20"/>
          <w:lang w:val="en-GB"/>
        </w:rPr>
      </w:pPr>
      <w:hyperlink r:id="rId15" w:history="1">
        <w:r w:rsidR="00105C7C" w:rsidRPr="007170BF">
          <w:rPr>
            <w:rStyle w:val="Hyperlink"/>
            <w:rFonts w:cstheme="minorHAnsi"/>
            <w:color w:val="0000FF"/>
            <w:sz w:val="20"/>
            <w:szCs w:val="20"/>
            <w:lang w:val="en-GB"/>
          </w:rPr>
          <w:t>CCPE Opinion No. 17 (2022) on the role of prosecutors in the protection of the environment</w:t>
        </w:r>
      </w:hyperlink>
    </w:p>
    <w:bookmarkEnd w:id="1"/>
    <w:p w14:paraId="389E90FC" w14:textId="77777777" w:rsidR="00105C7C" w:rsidRPr="007170BF" w:rsidRDefault="00105C7C" w:rsidP="00105C7C">
      <w:pPr>
        <w:pStyle w:val="Default"/>
        <w:rPr>
          <w:color w:val="auto"/>
          <w:sz w:val="22"/>
          <w:szCs w:val="22"/>
          <w:lang w:val="en-GB"/>
        </w:rPr>
      </w:pPr>
    </w:p>
    <w:p w14:paraId="362CD722" w14:textId="77777777" w:rsidR="00105C7C" w:rsidRPr="007170BF" w:rsidRDefault="00105C7C" w:rsidP="00105C7C">
      <w:pPr>
        <w:rPr>
          <w:lang w:val="en-US"/>
        </w:rPr>
      </w:pPr>
      <w:r w:rsidRPr="007170BF">
        <w:rPr>
          <w:lang w:val="en-US"/>
        </w:rPr>
        <w:t>GRECO</w:t>
      </w:r>
    </w:p>
    <w:p w14:paraId="7146070B" w14:textId="4CDEC475" w:rsidR="00105C7C" w:rsidRDefault="00105C7C" w:rsidP="00105C7C">
      <w:pPr>
        <w:pStyle w:val="NoSpacing"/>
        <w:jc w:val="both"/>
        <w:rPr>
          <w:rStyle w:val="Hyperlink"/>
          <w:rFonts w:ascii="Calibri" w:hAnsi="Calibri" w:cs="Calibri"/>
          <w:lang w:val="en-GB"/>
        </w:rPr>
      </w:pPr>
      <w:r w:rsidRPr="007170BF">
        <w:rPr>
          <w:rFonts w:eastAsiaTheme="minorHAnsi"/>
          <w:lang w:val="en-GB"/>
        </w:rPr>
        <w:t>2 June 2022</w:t>
      </w:r>
      <w:r>
        <w:rPr>
          <w:rFonts w:eastAsiaTheme="minorHAnsi"/>
          <w:lang w:val="en-GB"/>
        </w:rPr>
        <w:t xml:space="preserve"> </w:t>
      </w:r>
      <w:r w:rsidRPr="007170BF">
        <w:rPr>
          <w:rStyle w:val="Hyperlink"/>
          <w:rFonts w:ascii="Calibri" w:hAnsi="Calibri" w:cs="Calibri"/>
          <w:lang w:val="en-GB"/>
        </w:rPr>
        <w:t xml:space="preserve">Publication of </w:t>
      </w:r>
      <w:hyperlink r:id="rId16" w:history="1">
        <w:r w:rsidRPr="007170BF">
          <w:rPr>
            <w:rStyle w:val="Hyperlink"/>
            <w:rFonts w:ascii="Calibri" w:hAnsi="Calibri" w:cs="Calibri"/>
            <w:lang w:val="en-GB"/>
          </w:rPr>
          <w:t>22</w:t>
        </w:r>
        <w:r w:rsidRPr="007170BF">
          <w:rPr>
            <w:rStyle w:val="Hyperlink"/>
            <w:rFonts w:ascii="Calibri" w:hAnsi="Calibri" w:cs="Calibri"/>
            <w:vertAlign w:val="superscript"/>
            <w:lang w:val="en-GB"/>
          </w:rPr>
          <w:t>nd</w:t>
        </w:r>
        <w:r w:rsidRPr="007170BF">
          <w:rPr>
            <w:rStyle w:val="Hyperlink"/>
            <w:rFonts w:ascii="Calibri" w:hAnsi="Calibri" w:cs="Calibri"/>
            <w:lang w:val="en-GB"/>
          </w:rPr>
          <w:t xml:space="preserve"> GRECO General Activity Report</w:t>
        </w:r>
      </w:hyperlink>
      <w:r w:rsidRPr="007170BF">
        <w:rPr>
          <w:rStyle w:val="Hyperlink"/>
          <w:rFonts w:ascii="Calibri" w:hAnsi="Calibri" w:cs="Calibri"/>
          <w:lang w:val="en-GB"/>
        </w:rPr>
        <w:t xml:space="preserve"> </w:t>
      </w:r>
      <w:r w:rsidRPr="00105C7C">
        <w:rPr>
          <w:rStyle w:val="Hyperlink"/>
          <w:rFonts w:ascii="Calibri" w:hAnsi="Calibri" w:cs="Calibri"/>
          <w:lang w:val="en-GB"/>
        </w:rPr>
        <w:t>“Anti-corruption trends, challenges and good practices in Europe &amp; the United States of America</w:t>
      </w:r>
      <w:r>
        <w:rPr>
          <w:rStyle w:val="Hyperlink"/>
          <w:rFonts w:ascii="Calibri" w:hAnsi="Calibri" w:cs="Calibri"/>
          <w:lang w:val="en-GB"/>
        </w:rPr>
        <w:t>”</w:t>
      </w:r>
    </w:p>
    <w:p w14:paraId="19239093" w14:textId="046E299A" w:rsidR="00105C7C" w:rsidRDefault="00105C7C" w:rsidP="00105C7C">
      <w:pPr>
        <w:pStyle w:val="NoSpacing"/>
        <w:jc w:val="both"/>
        <w:rPr>
          <w:rStyle w:val="Hyperlink"/>
          <w:rFonts w:ascii="Calibri" w:hAnsi="Calibri" w:cs="Calibri"/>
          <w:lang w:val="en-GB"/>
        </w:rPr>
      </w:pPr>
    </w:p>
    <w:p w14:paraId="44B29D86" w14:textId="3F40EB59" w:rsidR="00105C7C" w:rsidRPr="00105C7C" w:rsidRDefault="00105C7C" w:rsidP="00105C7C">
      <w:pPr>
        <w:rPr>
          <w:lang w:val="en-US"/>
        </w:rPr>
      </w:pPr>
    </w:p>
    <w:p w14:paraId="20F94406" w14:textId="77777777" w:rsidR="00105C7C" w:rsidRDefault="00105C7C" w:rsidP="00105C7C">
      <w:pPr>
        <w:pStyle w:val="xxxxxmsonormal"/>
        <w:spacing w:before="0" w:beforeAutospacing="0" w:after="0" w:afterAutospacing="0"/>
        <w:jc w:val="both"/>
        <w:rPr>
          <w:lang w:val="en-GB"/>
        </w:rPr>
      </w:pPr>
      <w:r>
        <w:rPr>
          <w:lang w:val="en-GB"/>
        </w:rPr>
        <w:t>HELP</w:t>
      </w:r>
    </w:p>
    <w:p w14:paraId="1055D8EA" w14:textId="2C465360" w:rsidR="00105C7C" w:rsidRPr="00105C7C" w:rsidRDefault="00105C7C" w:rsidP="00105C7C">
      <w:pPr>
        <w:pStyle w:val="xxxxxmsonormal"/>
        <w:spacing w:before="0" w:beforeAutospacing="0" w:after="0" w:afterAutospacing="0"/>
        <w:jc w:val="both"/>
        <w:rPr>
          <w:lang w:val="en-GB"/>
        </w:rPr>
      </w:pPr>
      <w:r w:rsidRPr="00AD23CC">
        <w:rPr>
          <w:rFonts w:eastAsia="Times New Roman"/>
          <w:b/>
          <w:bCs/>
          <w:lang w:val="en-GB"/>
        </w:rPr>
        <w:t>Human rights and judicial training</w:t>
      </w:r>
      <w:r w:rsidRPr="00AD23CC">
        <w:rPr>
          <w:rFonts w:eastAsia="Times New Roman"/>
          <w:lang w:val="en-GB"/>
        </w:rPr>
        <w:t xml:space="preserve"> are essential </w:t>
      </w:r>
      <w:r w:rsidRPr="00AD23CC">
        <w:rPr>
          <w:rFonts w:eastAsia="Times New Roman"/>
          <w:b/>
          <w:bCs/>
          <w:lang w:val="en-GB"/>
        </w:rPr>
        <w:t>to ensure</w:t>
      </w:r>
      <w:r w:rsidRPr="00AD23CC">
        <w:rPr>
          <w:rFonts w:eastAsia="Times New Roman"/>
          <w:lang w:val="en-GB"/>
        </w:rPr>
        <w:t xml:space="preserve"> respect for </w:t>
      </w:r>
      <w:r w:rsidRPr="00AD23CC">
        <w:rPr>
          <w:rFonts w:eastAsia="Times New Roman"/>
          <w:b/>
          <w:bCs/>
          <w:lang w:val="en-GB"/>
        </w:rPr>
        <w:t>Rule of Law, including judicial independence</w:t>
      </w:r>
      <w:r w:rsidRPr="00AD23CC">
        <w:rPr>
          <w:rFonts w:eastAsia="Times New Roman"/>
          <w:lang w:val="en-GB"/>
        </w:rPr>
        <w:t xml:space="preserve">. </w:t>
      </w:r>
      <w:r>
        <w:rPr>
          <w:rFonts w:eastAsia="Times New Roman"/>
          <w:lang w:val="en-GB"/>
        </w:rPr>
        <w:t xml:space="preserve"> </w:t>
      </w:r>
      <w:r w:rsidRPr="00AD23CC">
        <w:rPr>
          <w:rFonts w:eastAsia="Times New Roman"/>
          <w:lang w:val="en-GB"/>
        </w:rPr>
        <w:t xml:space="preserve">To be effective, training </w:t>
      </w:r>
      <w:proofErr w:type="gramStart"/>
      <w:r w:rsidRPr="00AD23CC">
        <w:rPr>
          <w:rFonts w:eastAsia="Times New Roman"/>
          <w:lang w:val="en-GB"/>
        </w:rPr>
        <w:t>has to</w:t>
      </w:r>
      <w:proofErr w:type="gramEnd"/>
      <w:r w:rsidRPr="00AD23CC">
        <w:rPr>
          <w:rFonts w:eastAsia="Times New Roman"/>
          <w:lang w:val="en-GB"/>
        </w:rPr>
        <w:t xml:space="preserve"> be on </w:t>
      </w:r>
      <w:r w:rsidRPr="00AD23CC">
        <w:rPr>
          <w:rFonts w:eastAsia="Times New Roman"/>
          <w:b/>
          <w:bCs/>
          <w:lang w:val="en-GB"/>
        </w:rPr>
        <w:t>concrete topics</w:t>
      </w:r>
      <w:r w:rsidRPr="00AD23CC">
        <w:rPr>
          <w:rFonts w:eastAsia="Times New Roman"/>
          <w:lang w:val="en-GB"/>
        </w:rPr>
        <w:t xml:space="preserve"> (ethics, anticorruption, freedom of expression, etc.) and adapted to each national context. This is the approach followed by the </w:t>
      </w:r>
      <w:r w:rsidRPr="00AD23CC">
        <w:rPr>
          <w:rFonts w:eastAsia="Times New Roman"/>
          <w:b/>
          <w:bCs/>
          <w:lang w:val="en-GB"/>
        </w:rPr>
        <w:t>Council of Europe’s</w:t>
      </w:r>
      <w:r w:rsidRPr="00AD23CC">
        <w:rPr>
          <w:rFonts w:eastAsia="Times New Roman"/>
          <w:lang w:val="en-GB"/>
        </w:rPr>
        <w:t xml:space="preserve"> “Human Rights Education for Legal Professionals</w:t>
      </w:r>
      <w:r w:rsidRPr="00AD23CC">
        <w:rPr>
          <w:rFonts w:eastAsia="Times New Roman"/>
          <w:b/>
          <w:bCs/>
          <w:lang w:val="en-GB"/>
        </w:rPr>
        <w:t xml:space="preserve"> (HELP)” Programme</w:t>
      </w:r>
      <w:r w:rsidRPr="00AD23CC">
        <w:rPr>
          <w:rFonts w:eastAsia="Times New Roman"/>
          <w:lang w:val="en-GB"/>
        </w:rPr>
        <w:t xml:space="preserve"> that supports justice training institutions and legal professionals apply European Human Rights standards at national level. </w:t>
      </w:r>
    </w:p>
    <w:p w14:paraId="6857042C" w14:textId="77777777" w:rsidR="00105C7C" w:rsidRDefault="00105C7C" w:rsidP="00105C7C">
      <w:pPr>
        <w:shd w:val="clear" w:color="auto" w:fill="FFFFFF"/>
        <w:jc w:val="both"/>
        <w:rPr>
          <w:rFonts w:eastAsia="Times New Roman"/>
          <w:color w:val="000000"/>
          <w:lang w:val="en-GB"/>
        </w:rPr>
      </w:pPr>
    </w:p>
    <w:p w14:paraId="7186AF27" w14:textId="09549B71" w:rsidR="00105C7C" w:rsidRPr="00AD23CC" w:rsidRDefault="00105C7C" w:rsidP="00105C7C">
      <w:pPr>
        <w:shd w:val="clear" w:color="auto" w:fill="FFFFFF"/>
        <w:jc w:val="both"/>
        <w:rPr>
          <w:rFonts w:eastAsia="Times New Roman"/>
          <w:color w:val="000000"/>
          <w:lang w:val="en-GB" w:eastAsia="fr-FR"/>
        </w:rPr>
      </w:pPr>
      <w:r w:rsidRPr="00AD23CC">
        <w:rPr>
          <w:rFonts w:eastAsia="Times New Roman"/>
          <w:color w:val="000000"/>
          <w:lang w:val="en-GB"/>
        </w:rPr>
        <w:t xml:space="preserve">The implementation of HELP courses contributes to the </w:t>
      </w:r>
      <w:hyperlink r:id="rId17" w:history="1">
        <w:r w:rsidRPr="00AD23CC">
          <w:rPr>
            <w:rStyle w:val="Hyperlink"/>
            <w:rFonts w:eastAsia="Times New Roman"/>
            <w:b/>
            <w:bCs/>
            <w:lang w:val="en-GB"/>
          </w:rPr>
          <w:t>EU Judicial Training strategy (2021-2024)</w:t>
        </w:r>
      </w:hyperlink>
      <w:r w:rsidRPr="00AD23CC">
        <w:rPr>
          <w:rFonts w:eastAsia="Times New Roman"/>
          <w:color w:val="000000"/>
          <w:lang w:val="en-GB"/>
        </w:rPr>
        <w:t xml:space="preserve">.  A new </w:t>
      </w:r>
      <w:r w:rsidRPr="00AD23CC">
        <w:rPr>
          <w:rFonts w:eastAsia="Times New Roman"/>
          <w:b/>
          <w:bCs/>
          <w:color w:val="000000"/>
          <w:lang w:val="en-GB"/>
        </w:rPr>
        <w:t>HELP course on the ECHR-EU Charter Interplay</w:t>
      </w:r>
      <w:r w:rsidRPr="00AD23CC">
        <w:rPr>
          <w:rFonts w:eastAsia="Times New Roman"/>
          <w:color w:val="000000"/>
          <w:lang w:val="en-GB"/>
        </w:rPr>
        <w:t xml:space="preserve"> will be ready in 2023. It is developed with EU funding and in cooperation with the EC and FRA.</w:t>
      </w:r>
    </w:p>
    <w:p w14:paraId="7C51DF99" w14:textId="77777777" w:rsidR="00105C7C" w:rsidRDefault="00105C7C" w:rsidP="00105C7C">
      <w:pPr>
        <w:shd w:val="clear" w:color="auto" w:fill="FFFFFF"/>
        <w:jc w:val="both"/>
        <w:rPr>
          <w:rFonts w:eastAsia="Times New Roman"/>
          <w:lang w:val="en-GB"/>
        </w:rPr>
      </w:pPr>
    </w:p>
    <w:p w14:paraId="56FA562A" w14:textId="7A361F1D" w:rsidR="00105C7C" w:rsidRPr="00AD23CC" w:rsidRDefault="00105C7C" w:rsidP="00105C7C">
      <w:pPr>
        <w:shd w:val="clear" w:color="auto" w:fill="FFFFFF"/>
        <w:jc w:val="both"/>
        <w:rPr>
          <w:rFonts w:eastAsia="Times New Roman"/>
          <w:lang w:val="en-GB"/>
        </w:rPr>
      </w:pPr>
      <w:r w:rsidRPr="00AD23CC">
        <w:rPr>
          <w:rFonts w:eastAsia="Times New Roman"/>
          <w:lang w:val="en-GB"/>
        </w:rPr>
        <w:t xml:space="preserve">The HELP Catalogue </w:t>
      </w:r>
      <w:r w:rsidRPr="00AD23CC">
        <w:rPr>
          <w:rFonts w:eastAsia="Times New Roman"/>
          <w:b/>
          <w:bCs/>
          <w:lang w:val="en-GB"/>
        </w:rPr>
        <w:t xml:space="preserve">contains 46 online courses on various human rights related topics, including in direct link with the </w:t>
      </w:r>
      <w:proofErr w:type="spellStart"/>
      <w:r w:rsidRPr="00AD23CC">
        <w:rPr>
          <w:rFonts w:eastAsia="Times New Roman"/>
          <w:b/>
          <w:bCs/>
          <w:lang w:val="en-GB"/>
        </w:rPr>
        <w:t>RoL</w:t>
      </w:r>
      <w:proofErr w:type="spellEnd"/>
      <w:r w:rsidRPr="00AD23CC">
        <w:rPr>
          <w:rFonts w:eastAsia="Times New Roman"/>
          <w:b/>
          <w:bCs/>
          <w:lang w:val="en-GB"/>
        </w:rPr>
        <w:t xml:space="preserve"> (</w:t>
      </w:r>
      <w:hyperlink r:id="rId18" w:history="1">
        <w:r w:rsidRPr="00AD23CC">
          <w:rPr>
            <w:rStyle w:val="Hyperlink"/>
            <w:rFonts w:eastAsia="Times New Roman"/>
            <w:lang w:val="en-GB"/>
          </w:rPr>
          <w:t>I</w:t>
        </w:r>
      </w:hyperlink>
      <w:r w:rsidRPr="00AD23CC">
        <w:rPr>
          <w:rStyle w:val="Hyperlink"/>
          <w:lang w:val="en-GB"/>
        </w:rPr>
        <w:t>ntroduction to Corruption Prevention</w:t>
      </w:r>
      <w:r w:rsidRPr="00AD23CC">
        <w:rPr>
          <w:rFonts w:eastAsia="Times New Roman"/>
          <w:lang w:val="en-GB"/>
        </w:rPr>
        <w:t xml:space="preserve">, </w:t>
      </w:r>
      <w:hyperlink r:id="rId19" w:history="1">
        <w:r w:rsidRPr="00AD23CC">
          <w:rPr>
            <w:rStyle w:val="Hyperlink"/>
            <w:rFonts w:eastAsia="Times New Roman"/>
            <w:lang w:val="en-GB"/>
          </w:rPr>
          <w:t>Ethics for Judges, Prosecutors and Lawyers</w:t>
        </w:r>
      </w:hyperlink>
      <w:r w:rsidRPr="00AD23CC">
        <w:rPr>
          <w:rFonts w:eastAsia="Times New Roman"/>
          <w:lang w:val="en-GB"/>
        </w:rPr>
        <w:t xml:space="preserve"> etc.). </w:t>
      </w:r>
    </w:p>
    <w:p w14:paraId="3BE979D6" w14:textId="77777777" w:rsidR="00105C7C" w:rsidRDefault="00105C7C" w:rsidP="00105C7C">
      <w:pPr>
        <w:shd w:val="clear" w:color="auto" w:fill="FFFFFF"/>
        <w:jc w:val="both"/>
        <w:rPr>
          <w:rFonts w:eastAsia="Times New Roman"/>
          <w:lang w:val="en-GB"/>
        </w:rPr>
      </w:pPr>
    </w:p>
    <w:p w14:paraId="5CC871C8" w14:textId="6BFBF4C1" w:rsidR="00105C7C" w:rsidRPr="00AD23CC" w:rsidRDefault="00105C7C" w:rsidP="00105C7C">
      <w:pPr>
        <w:shd w:val="clear" w:color="auto" w:fill="FFFFFF"/>
        <w:jc w:val="both"/>
        <w:rPr>
          <w:rFonts w:eastAsia="Times New Roman"/>
          <w:lang w:val="en-GB"/>
        </w:rPr>
      </w:pPr>
      <w:r w:rsidRPr="00AD23CC">
        <w:rPr>
          <w:rFonts w:eastAsia="Times New Roman"/>
          <w:lang w:val="en-GB"/>
        </w:rPr>
        <w:t xml:space="preserve">HELP also implements </w:t>
      </w:r>
      <w:r w:rsidRPr="00AD23CC">
        <w:rPr>
          <w:rFonts w:eastAsia="Times New Roman"/>
          <w:b/>
          <w:bCs/>
          <w:lang w:val="en-GB"/>
        </w:rPr>
        <w:t>courses in tutored format</w:t>
      </w:r>
      <w:r w:rsidRPr="00AD23CC">
        <w:rPr>
          <w:rFonts w:eastAsia="Times New Roman"/>
          <w:lang w:val="en-GB"/>
        </w:rPr>
        <w:t xml:space="preserve"> in collaboration with national Training Justice Institutions (TJIs) and Bar associations, which select legal professionals and HELP tutors who contextualise the European standards to the national legislation and context. </w:t>
      </w:r>
      <w:proofErr w:type="spellStart"/>
      <w:r w:rsidRPr="00AD23CC">
        <w:rPr>
          <w:rFonts w:eastAsia="Times New Roman"/>
          <w:lang w:val="en-GB"/>
        </w:rPr>
        <w:t>It</w:t>
      </w:r>
      <w:proofErr w:type="spellEnd"/>
      <w:r w:rsidRPr="00AD23CC">
        <w:rPr>
          <w:rFonts w:eastAsia="Times New Roman"/>
          <w:lang w:val="en-GB"/>
        </w:rPr>
        <w:t xml:space="preserve"> this regard, and to ensure </w:t>
      </w:r>
      <w:r w:rsidRPr="00AD23CC">
        <w:rPr>
          <w:rFonts w:eastAsia="Times New Roman"/>
          <w:b/>
          <w:bCs/>
          <w:lang w:val="en-GB"/>
        </w:rPr>
        <w:t>equal access to quality legal training</w:t>
      </w:r>
      <w:r w:rsidRPr="00AD23CC">
        <w:rPr>
          <w:rFonts w:eastAsia="Times New Roman"/>
          <w:lang w:val="en-GB"/>
        </w:rPr>
        <w:t xml:space="preserve">, national TJI </w:t>
      </w:r>
      <w:proofErr w:type="gramStart"/>
      <w:r w:rsidRPr="00AD23CC">
        <w:rPr>
          <w:rFonts w:eastAsia="Times New Roman"/>
          <w:lang w:val="en-GB"/>
        </w:rPr>
        <w:t>have to</w:t>
      </w:r>
      <w:proofErr w:type="gramEnd"/>
      <w:r w:rsidRPr="00AD23CC">
        <w:rPr>
          <w:rFonts w:eastAsia="Times New Roman"/>
          <w:lang w:val="en-GB"/>
        </w:rPr>
        <w:t xml:space="preserve"> enjoy independence and ensure transparent selection processes. The crucial importance of embedding </w:t>
      </w:r>
      <w:proofErr w:type="spellStart"/>
      <w:r w:rsidRPr="00AD23CC">
        <w:rPr>
          <w:rFonts w:eastAsia="Times New Roman"/>
          <w:lang w:val="en-GB"/>
        </w:rPr>
        <w:t>RoL</w:t>
      </w:r>
      <w:proofErr w:type="spellEnd"/>
      <w:r w:rsidRPr="00AD23CC">
        <w:rPr>
          <w:rFonts w:eastAsia="Times New Roman"/>
          <w:lang w:val="en-GB"/>
        </w:rPr>
        <w:t xml:space="preserve">-related training in initial training -as well as continuous training- </w:t>
      </w:r>
      <w:proofErr w:type="gramStart"/>
      <w:r w:rsidRPr="00AD23CC">
        <w:rPr>
          <w:rFonts w:eastAsia="Times New Roman"/>
          <w:lang w:val="en-GB"/>
        </w:rPr>
        <w:t>has to</w:t>
      </w:r>
      <w:proofErr w:type="gramEnd"/>
      <w:r w:rsidRPr="00AD23CC">
        <w:rPr>
          <w:rFonts w:eastAsia="Times New Roman"/>
          <w:lang w:val="en-GB"/>
        </w:rPr>
        <w:t xml:space="preserve"> be underlined, </w:t>
      </w:r>
      <w:r w:rsidRPr="00AD23CC">
        <w:rPr>
          <w:rFonts w:eastAsia="Times New Roman"/>
          <w:color w:val="000000"/>
          <w:lang w:val="en-GB"/>
        </w:rPr>
        <w:t>especially those that have already been translated in national languages and adapted to the national context.</w:t>
      </w:r>
    </w:p>
    <w:p w14:paraId="7DD81E45" w14:textId="77777777" w:rsidR="00105C7C" w:rsidRDefault="00105C7C" w:rsidP="00105C7C">
      <w:pPr>
        <w:jc w:val="both"/>
        <w:rPr>
          <w:rFonts w:eastAsia="Times New Roman"/>
          <w:lang w:val="en-GB"/>
        </w:rPr>
      </w:pPr>
    </w:p>
    <w:p w14:paraId="10C1EE69" w14:textId="5D0E04B9" w:rsidR="00105C7C" w:rsidRPr="00105C7C" w:rsidRDefault="00105C7C" w:rsidP="00105C7C">
      <w:pPr>
        <w:jc w:val="both"/>
        <w:rPr>
          <w:lang w:val="en-GB"/>
        </w:rPr>
      </w:pPr>
      <w:r w:rsidRPr="00105C7C">
        <w:rPr>
          <w:rFonts w:eastAsia="Times New Roman"/>
          <w:lang w:val="en-GB"/>
        </w:rPr>
        <w:t xml:space="preserve">In 2022, HELP collaborated with the national JTIs and BAs from EU MS to </w:t>
      </w:r>
      <w:r w:rsidRPr="00105C7C">
        <w:rPr>
          <w:rFonts w:eastAsia="Times New Roman"/>
          <w:b/>
          <w:bCs/>
          <w:lang w:val="en-GB"/>
        </w:rPr>
        <w:t>launch 36 HELP tutored courses, with 1,550 EU legal professionals</w:t>
      </w:r>
      <w:r w:rsidRPr="00105C7C">
        <w:rPr>
          <w:rFonts w:eastAsia="Times New Roman"/>
          <w:lang w:val="en-GB"/>
        </w:rPr>
        <w:t xml:space="preserve">. </w:t>
      </w:r>
    </w:p>
    <w:p w14:paraId="6862DCF0" w14:textId="77777777" w:rsidR="00105C7C" w:rsidRDefault="00105C7C" w:rsidP="00105C7C">
      <w:pPr>
        <w:jc w:val="both"/>
        <w:rPr>
          <w:rFonts w:eastAsia="Times New Roman"/>
          <w:lang w:val="en-GB"/>
        </w:rPr>
      </w:pPr>
    </w:p>
    <w:p w14:paraId="7AE3E312" w14:textId="79F28846" w:rsidR="00105C7C" w:rsidRPr="00105C7C" w:rsidRDefault="00105C7C" w:rsidP="00105C7C">
      <w:pPr>
        <w:jc w:val="both"/>
        <w:rPr>
          <w:lang w:val="en-GB"/>
        </w:rPr>
      </w:pPr>
      <w:r w:rsidRPr="00105C7C">
        <w:rPr>
          <w:rFonts w:eastAsia="Times New Roman"/>
          <w:lang w:val="en-GB"/>
        </w:rPr>
        <w:t xml:space="preserve">For more information on </w:t>
      </w:r>
      <w:r w:rsidRPr="00105C7C">
        <w:rPr>
          <w:lang w:val="en-GB"/>
        </w:rPr>
        <w:t xml:space="preserve">HELP courses launched in 2022 in EU MS, </w:t>
      </w:r>
      <w:r w:rsidRPr="00105C7C">
        <w:rPr>
          <w:u w:val="single"/>
          <w:lang w:val="en-GB"/>
        </w:rPr>
        <w:t>see appendix</w:t>
      </w:r>
      <w:r w:rsidRPr="00105C7C">
        <w:rPr>
          <w:lang w:val="en-GB"/>
        </w:rPr>
        <w:t xml:space="preserve">. </w:t>
      </w:r>
    </w:p>
    <w:p w14:paraId="138B1AD5" w14:textId="77777777" w:rsidR="00105C7C" w:rsidRPr="00AD23CC" w:rsidRDefault="00105C7C" w:rsidP="00105C7C">
      <w:pPr>
        <w:rPr>
          <w:lang w:val="en-GB"/>
        </w:rPr>
      </w:pPr>
    </w:p>
    <w:bookmarkStart w:id="2" w:name="_MON_1735018932"/>
    <w:bookmarkEnd w:id="2"/>
    <w:p w14:paraId="5A91296E" w14:textId="77777777" w:rsidR="00105C7C" w:rsidRPr="002910E5" w:rsidRDefault="00105C7C" w:rsidP="00105C7C">
      <w:pPr>
        <w:rPr>
          <w:lang w:val="en-US"/>
        </w:rPr>
      </w:pPr>
      <w:r>
        <w:rPr>
          <w:lang w:val="en-US"/>
        </w:rPr>
        <w:object w:dxaOrig="1513" w:dyaOrig="986" w14:anchorId="41B2EDBA">
          <v:shape id="_x0000_i1026" type="#_x0000_t75" style="width:78pt;height:48pt" o:ole="">
            <v:imagedata r:id="rId20" o:title=""/>
          </v:shape>
          <o:OLEObject Type="Embed" ProgID="Word.Document.12" ShapeID="_x0000_i1026" DrawAspect="Icon" ObjectID="_1735643324" r:id="rId21">
            <o:FieldCodes>\s</o:FieldCodes>
          </o:OLEObject>
        </w:object>
      </w:r>
    </w:p>
    <w:p w14:paraId="4923AA4D" w14:textId="77777777" w:rsidR="00105C7C" w:rsidRPr="007170BF" w:rsidRDefault="00105C7C" w:rsidP="00105C7C">
      <w:pPr>
        <w:pStyle w:val="Heading2"/>
        <w:shd w:val="clear" w:color="auto" w:fill="FFFFFF"/>
        <w:spacing w:before="0"/>
        <w:rPr>
          <w:rFonts w:asciiTheme="minorHAnsi" w:hAnsiTheme="minorHAnsi" w:cstheme="minorHAnsi"/>
          <w:color w:val="auto"/>
          <w:sz w:val="20"/>
          <w:szCs w:val="20"/>
          <w:lang w:val="en-US"/>
        </w:rPr>
      </w:pPr>
      <w:r w:rsidRPr="007170BF">
        <w:rPr>
          <w:rFonts w:asciiTheme="minorHAnsi" w:hAnsiTheme="minorHAnsi" w:cstheme="minorHAnsi"/>
          <w:color w:val="auto"/>
          <w:sz w:val="20"/>
          <w:szCs w:val="20"/>
          <w:lang w:val="en-US"/>
        </w:rPr>
        <w:t>PACE</w:t>
      </w:r>
    </w:p>
    <w:p w14:paraId="78492941" w14:textId="77777777" w:rsidR="00105C7C" w:rsidRPr="007170BF" w:rsidRDefault="00105C7C" w:rsidP="00105C7C">
      <w:pPr>
        <w:pStyle w:val="Default"/>
        <w:jc w:val="both"/>
        <w:rPr>
          <w:sz w:val="20"/>
          <w:szCs w:val="20"/>
          <w:lang w:val="en-US"/>
        </w:rPr>
      </w:pPr>
      <w:r w:rsidRPr="007170BF">
        <w:rPr>
          <w:sz w:val="20"/>
          <w:szCs w:val="20"/>
          <w:lang w:val="en-US"/>
        </w:rPr>
        <w:t>The impact of the Covid-19 pandemic on prison population in Europe</w:t>
      </w:r>
    </w:p>
    <w:p w14:paraId="5F04D428" w14:textId="77777777" w:rsidR="00105C7C" w:rsidRPr="00AC608D" w:rsidRDefault="00AD76CC" w:rsidP="00105C7C">
      <w:pPr>
        <w:pStyle w:val="Default"/>
        <w:jc w:val="both"/>
        <w:rPr>
          <w:sz w:val="20"/>
          <w:szCs w:val="20"/>
          <w:lang w:val="en-GB"/>
        </w:rPr>
      </w:pPr>
      <w:hyperlink r:id="rId22" w:anchor="trace-4" w:history="1">
        <w:proofErr w:type="spellStart"/>
        <w:r w:rsidR="00105C7C" w:rsidRPr="007170BF">
          <w:rPr>
            <w:rStyle w:val="Hyperlink"/>
            <w:sz w:val="20"/>
            <w:szCs w:val="20"/>
            <w:lang w:val="en-GB"/>
          </w:rPr>
          <w:t>Rés</w:t>
        </w:r>
        <w:proofErr w:type="spellEnd"/>
        <w:r w:rsidR="00105C7C" w:rsidRPr="007170BF">
          <w:rPr>
            <w:rStyle w:val="Hyperlink"/>
            <w:sz w:val="20"/>
            <w:szCs w:val="20"/>
            <w:lang w:val="en-GB"/>
          </w:rPr>
          <w:t xml:space="preserve"> 2472 (2022)</w:t>
        </w:r>
      </w:hyperlink>
      <w:r w:rsidR="00105C7C" w:rsidRPr="007170BF">
        <w:rPr>
          <w:rStyle w:val="Hyperlink"/>
          <w:sz w:val="20"/>
          <w:szCs w:val="20"/>
          <w:lang w:val="en-GB"/>
        </w:rPr>
        <w:t xml:space="preserve">, </w:t>
      </w:r>
      <w:hyperlink r:id="rId23" w:anchor="trace-3" w:history="1">
        <w:r w:rsidR="00105C7C" w:rsidRPr="007170BF">
          <w:rPr>
            <w:rStyle w:val="Hyperlink"/>
            <w:sz w:val="20"/>
            <w:szCs w:val="20"/>
            <w:lang w:val="en-GB"/>
          </w:rPr>
          <w:t>Rec 2242 (2022)</w:t>
        </w:r>
      </w:hyperlink>
    </w:p>
    <w:p w14:paraId="574BE1FD" w14:textId="77777777" w:rsidR="00105C7C" w:rsidRDefault="00105C7C" w:rsidP="00105C7C">
      <w:pPr>
        <w:pStyle w:val="Default"/>
        <w:rPr>
          <w:color w:val="auto"/>
          <w:sz w:val="22"/>
          <w:szCs w:val="22"/>
          <w:lang w:val="en-GB"/>
        </w:rPr>
      </w:pPr>
    </w:p>
    <w:p w14:paraId="1529907D" w14:textId="77777777" w:rsidR="00105C7C" w:rsidRDefault="00105C7C" w:rsidP="00105C7C">
      <w:pPr>
        <w:rPr>
          <w:lang w:val="en-US"/>
        </w:rPr>
      </w:pPr>
      <w:r>
        <w:rPr>
          <w:lang w:val="en-US"/>
        </w:rPr>
        <w:t>Contribution from the Gender Equality Division</w:t>
      </w:r>
    </w:p>
    <w:bookmarkStart w:id="3" w:name="_MON_1735557865"/>
    <w:bookmarkEnd w:id="3"/>
    <w:p w14:paraId="38918548" w14:textId="7698BC43" w:rsidR="00105C7C" w:rsidRDefault="00105C7C" w:rsidP="00105C7C">
      <w:pPr>
        <w:rPr>
          <w:rFonts w:asciiTheme="majorHAnsi" w:eastAsiaTheme="majorEastAsia" w:hAnsiTheme="majorHAnsi" w:cstheme="majorBidi"/>
          <w:color w:val="2F5496" w:themeColor="accent1" w:themeShade="BF"/>
          <w:sz w:val="32"/>
          <w:szCs w:val="32"/>
          <w:lang w:val="en-US"/>
        </w:rPr>
      </w:pPr>
      <w:r>
        <w:rPr>
          <w:lang w:val="en-US"/>
        </w:rPr>
        <w:object w:dxaOrig="1512" w:dyaOrig="984" w14:anchorId="6EBC4EB0">
          <v:shape id="_x0000_i1027" type="#_x0000_t75" style="width:75.75pt;height:49.15pt" o:ole="">
            <v:imagedata r:id="rId24" o:title=""/>
          </v:shape>
          <o:OLEObject Type="Embed" ProgID="Word.Document.12" ShapeID="_x0000_i1027" DrawAspect="Icon" ObjectID="_1735643325" r:id="rId25">
            <o:FieldCodes>\s</o:FieldCodes>
          </o:OLEObject>
        </w:object>
      </w:r>
    </w:p>
    <w:p w14:paraId="355DE8E4" w14:textId="77777777" w:rsidR="00105C7C" w:rsidRPr="00105C7C" w:rsidRDefault="00105C7C" w:rsidP="00105C7C">
      <w:pPr>
        <w:rPr>
          <w:rFonts w:asciiTheme="majorHAnsi" w:eastAsiaTheme="majorEastAsia" w:hAnsiTheme="majorHAnsi" w:cstheme="majorBidi"/>
          <w:color w:val="2F5496" w:themeColor="accent1" w:themeShade="BF"/>
          <w:sz w:val="32"/>
          <w:szCs w:val="32"/>
          <w:lang w:val="en-US"/>
        </w:rPr>
      </w:pPr>
    </w:p>
    <w:p w14:paraId="090C4650" w14:textId="63EE763E" w:rsidR="00105C7C" w:rsidRPr="00105C7C" w:rsidRDefault="00105C7C" w:rsidP="00105C7C">
      <w:pPr>
        <w:rPr>
          <w:rFonts w:asciiTheme="majorHAnsi" w:eastAsiaTheme="majorEastAsia" w:hAnsiTheme="majorHAnsi" w:cstheme="majorBidi"/>
          <w:color w:val="2F5496" w:themeColor="accent1" w:themeShade="BF"/>
          <w:sz w:val="32"/>
          <w:szCs w:val="32"/>
          <w:lang w:val="en-US"/>
        </w:rPr>
      </w:pPr>
      <w:r>
        <w:rPr>
          <w:rFonts w:asciiTheme="majorHAnsi" w:eastAsiaTheme="majorEastAsia" w:hAnsiTheme="majorHAnsi" w:cstheme="majorBidi"/>
          <w:color w:val="2F5496" w:themeColor="accent1" w:themeShade="BF"/>
          <w:sz w:val="32"/>
          <w:szCs w:val="32"/>
          <w:lang w:val="en-US"/>
        </w:rPr>
        <w:t>II A</w:t>
      </w:r>
      <w:r w:rsidRPr="00105C7C">
        <w:rPr>
          <w:rFonts w:asciiTheme="majorHAnsi" w:eastAsiaTheme="majorEastAsia" w:hAnsiTheme="majorHAnsi" w:cstheme="majorBidi"/>
          <w:color w:val="2F5496" w:themeColor="accent1" w:themeShade="BF"/>
          <w:sz w:val="32"/>
          <w:szCs w:val="32"/>
          <w:lang w:val="en-US"/>
        </w:rPr>
        <w:t>nti-</w:t>
      </w:r>
      <w:r>
        <w:rPr>
          <w:rFonts w:asciiTheme="majorHAnsi" w:eastAsiaTheme="majorEastAsia" w:hAnsiTheme="majorHAnsi" w:cstheme="majorBidi"/>
          <w:color w:val="2F5496" w:themeColor="accent1" w:themeShade="BF"/>
          <w:sz w:val="32"/>
          <w:szCs w:val="32"/>
          <w:lang w:val="en-US"/>
        </w:rPr>
        <w:t>C</w:t>
      </w:r>
      <w:r w:rsidRPr="00105C7C">
        <w:rPr>
          <w:rFonts w:asciiTheme="majorHAnsi" w:eastAsiaTheme="majorEastAsia" w:hAnsiTheme="majorHAnsi" w:cstheme="majorBidi"/>
          <w:color w:val="2F5496" w:themeColor="accent1" w:themeShade="BF"/>
          <w:sz w:val="32"/>
          <w:szCs w:val="32"/>
          <w:lang w:val="en-US"/>
        </w:rPr>
        <w:t>orruption framework</w:t>
      </w:r>
    </w:p>
    <w:p w14:paraId="3735B1DE" w14:textId="77777777" w:rsidR="00105C7C" w:rsidRDefault="00105C7C" w:rsidP="00105C7C">
      <w:pPr>
        <w:rPr>
          <w:rFonts w:asciiTheme="majorHAnsi" w:eastAsiaTheme="majorEastAsia" w:hAnsiTheme="majorHAnsi" w:cstheme="majorBidi"/>
          <w:color w:val="2F5496" w:themeColor="accent1" w:themeShade="BF"/>
          <w:sz w:val="32"/>
          <w:szCs w:val="32"/>
          <w:lang w:val="en-US"/>
        </w:rPr>
      </w:pPr>
    </w:p>
    <w:p w14:paraId="6BAE1D47" w14:textId="2BCECA5A" w:rsidR="00105C7C" w:rsidRPr="007170BF" w:rsidRDefault="00105C7C" w:rsidP="00105C7C">
      <w:pPr>
        <w:rPr>
          <w:lang w:val="en-US"/>
        </w:rPr>
      </w:pPr>
      <w:r w:rsidRPr="007170BF">
        <w:rPr>
          <w:lang w:val="en-US"/>
        </w:rPr>
        <w:t>GRECO</w:t>
      </w:r>
    </w:p>
    <w:p w14:paraId="11A6170B" w14:textId="77777777" w:rsidR="00105C7C" w:rsidRDefault="00105C7C" w:rsidP="00105C7C">
      <w:pPr>
        <w:pStyle w:val="NoSpacing"/>
        <w:jc w:val="both"/>
        <w:rPr>
          <w:rStyle w:val="Hyperlink"/>
          <w:rFonts w:ascii="Calibri" w:hAnsi="Calibri" w:cs="Calibri"/>
          <w:lang w:val="en-GB"/>
        </w:rPr>
      </w:pPr>
      <w:r w:rsidRPr="007170BF">
        <w:rPr>
          <w:rFonts w:eastAsiaTheme="minorHAnsi"/>
          <w:lang w:val="en-GB"/>
        </w:rPr>
        <w:t>2 June 2022</w:t>
      </w:r>
      <w:r>
        <w:rPr>
          <w:rFonts w:eastAsiaTheme="minorHAnsi"/>
          <w:lang w:val="en-GB"/>
        </w:rPr>
        <w:t xml:space="preserve"> </w:t>
      </w:r>
      <w:r w:rsidRPr="007170BF">
        <w:rPr>
          <w:rStyle w:val="Hyperlink"/>
          <w:rFonts w:ascii="Calibri" w:hAnsi="Calibri" w:cs="Calibri"/>
          <w:lang w:val="en-GB"/>
        </w:rPr>
        <w:t xml:space="preserve">Publication of </w:t>
      </w:r>
      <w:hyperlink r:id="rId26" w:history="1">
        <w:r w:rsidRPr="007170BF">
          <w:rPr>
            <w:rStyle w:val="Hyperlink"/>
            <w:rFonts w:ascii="Calibri" w:hAnsi="Calibri" w:cs="Calibri"/>
            <w:lang w:val="en-GB"/>
          </w:rPr>
          <w:t>22</w:t>
        </w:r>
        <w:r w:rsidRPr="007170BF">
          <w:rPr>
            <w:rStyle w:val="Hyperlink"/>
            <w:rFonts w:ascii="Calibri" w:hAnsi="Calibri" w:cs="Calibri"/>
            <w:vertAlign w:val="superscript"/>
            <w:lang w:val="en-GB"/>
          </w:rPr>
          <w:t>nd</w:t>
        </w:r>
        <w:r w:rsidRPr="007170BF">
          <w:rPr>
            <w:rStyle w:val="Hyperlink"/>
            <w:rFonts w:ascii="Calibri" w:hAnsi="Calibri" w:cs="Calibri"/>
            <w:lang w:val="en-GB"/>
          </w:rPr>
          <w:t xml:space="preserve"> GRECO General Activity Report</w:t>
        </w:r>
      </w:hyperlink>
      <w:r w:rsidRPr="007170BF">
        <w:rPr>
          <w:rStyle w:val="Hyperlink"/>
          <w:rFonts w:ascii="Calibri" w:hAnsi="Calibri" w:cs="Calibri"/>
          <w:lang w:val="en-GB"/>
        </w:rPr>
        <w:t xml:space="preserve"> </w:t>
      </w:r>
      <w:r w:rsidRPr="00105C7C">
        <w:rPr>
          <w:rStyle w:val="Hyperlink"/>
          <w:rFonts w:ascii="Calibri" w:hAnsi="Calibri" w:cs="Calibri"/>
          <w:lang w:val="en-GB"/>
        </w:rPr>
        <w:t>“Anti-corruption trends, challenges and good practices in Europe &amp; the United States of America</w:t>
      </w:r>
      <w:r>
        <w:rPr>
          <w:rStyle w:val="Hyperlink"/>
          <w:rFonts w:ascii="Calibri" w:hAnsi="Calibri" w:cs="Calibri"/>
          <w:lang w:val="en-GB"/>
        </w:rPr>
        <w:t>”</w:t>
      </w:r>
    </w:p>
    <w:p w14:paraId="1380737B" w14:textId="77777777" w:rsidR="00105C7C" w:rsidRPr="00105C7C" w:rsidRDefault="00105C7C" w:rsidP="00105C7C">
      <w:pPr>
        <w:rPr>
          <w:rFonts w:asciiTheme="majorHAnsi" w:eastAsiaTheme="majorEastAsia" w:hAnsiTheme="majorHAnsi" w:cstheme="majorBidi"/>
          <w:color w:val="2F5496" w:themeColor="accent1" w:themeShade="BF"/>
          <w:sz w:val="32"/>
          <w:szCs w:val="32"/>
          <w:lang w:val="en-US"/>
        </w:rPr>
      </w:pPr>
    </w:p>
    <w:p w14:paraId="7E50F892" w14:textId="78E9BE93" w:rsidR="00105C7C" w:rsidRDefault="00105C7C" w:rsidP="00105C7C">
      <w:pPr>
        <w:rPr>
          <w:rFonts w:asciiTheme="majorHAnsi" w:eastAsiaTheme="majorEastAsia" w:hAnsiTheme="majorHAnsi" w:cstheme="majorBidi"/>
          <w:color w:val="2F5496" w:themeColor="accent1" w:themeShade="BF"/>
          <w:sz w:val="32"/>
          <w:szCs w:val="32"/>
          <w:lang w:val="en-US"/>
        </w:rPr>
      </w:pPr>
      <w:r>
        <w:rPr>
          <w:rFonts w:asciiTheme="majorHAnsi" w:eastAsiaTheme="majorEastAsia" w:hAnsiTheme="majorHAnsi" w:cstheme="majorBidi"/>
          <w:color w:val="2F5496" w:themeColor="accent1" w:themeShade="BF"/>
          <w:sz w:val="32"/>
          <w:szCs w:val="32"/>
          <w:lang w:val="en-US"/>
        </w:rPr>
        <w:t>III M</w:t>
      </w:r>
      <w:r w:rsidRPr="00105C7C">
        <w:rPr>
          <w:rFonts w:asciiTheme="majorHAnsi" w:eastAsiaTheme="majorEastAsia" w:hAnsiTheme="majorHAnsi" w:cstheme="majorBidi"/>
          <w:color w:val="2F5496" w:themeColor="accent1" w:themeShade="BF"/>
          <w:sz w:val="32"/>
          <w:szCs w:val="32"/>
          <w:lang w:val="en-US"/>
        </w:rPr>
        <w:t xml:space="preserve">edia pluralism and media freedom  </w:t>
      </w:r>
    </w:p>
    <w:p w14:paraId="3A4109EF" w14:textId="6C26EB77" w:rsidR="00105C7C" w:rsidRDefault="00105C7C" w:rsidP="00105C7C">
      <w:pPr>
        <w:rPr>
          <w:rFonts w:asciiTheme="majorHAnsi" w:eastAsiaTheme="majorEastAsia" w:hAnsiTheme="majorHAnsi" w:cstheme="majorBidi"/>
          <w:color w:val="2F5496" w:themeColor="accent1" w:themeShade="BF"/>
          <w:sz w:val="32"/>
          <w:szCs w:val="32"/>
          <w:lang w:val="en-US"/>
        </w:rPr>
      </w:pPr>
    </w:p>
    <w:p w14:paraId="01C611A1" w14:textId="727AE126" w:rsidR="00105C7C" w:rsidRDefault="00105C7C" w:rsidP="00105C7C">
      <w:pPr>
        <w:autoSpaceDE w:val="0"/>
        <w:autoSpaceDN w:val="0"/>
        <w:adjustRightInd w:val="0"/>
        <w:jc w:val="both"/>
        <w:rPr>
          <w:rFonts w:eastAsiaTheme="minorHAnsi" w:cstheme="minorHAnsi"/>
          <w:lang w:val="en-GB"/>
        </w:rPr>
      </w:pPr>
      <w:r>
        <w:rPr>
          <w:rFonts w:eastAsiaTheme="minorHAnsi" w:cstheme="minorHAnsi"/>
          <w:lang w:val="en-GB"/>
        </w:rPr>
        <w:t xml:space="preserve">The </w:t>
      </w:r>
      <w:r w:rsidRPr="00105C7C">
        <w:rPr>
          <w:rFonts w:eastAsiaTheme="minorHAnsi" w:cstheme="minorHAnsi"/>
          <w:lang w:val="en-GB"/>
        </w:rPr>
        <w:t>Committee of Ministers</w:t>
      </w:r>
      <w:r>
        <w:rPr>
          <w:rFonts w:eastAsiaTheme="minorHAnsi" w:cstheme="minorHAnsi"/>
          <w:lang w:val="en-GB"/>
        </w:rPr>
        <w:t>’ recommendations:</w:t>
      </w:r>
    </w:p>
    <w:p w14:paraId="4D58966C" w14:textId="77777777" w:rsidR="00105C7C" w:rsidRDefault="00105C7C" w:rsidP="00105C7C">
      <w:pPr>
        <w:autoSpaceDE w:val="0"/>
        <w:autoSpaceDN w:val="0"/>
        <w:adjustRightInd w:val="0"/>
        <w:jc w:val="both"/>
        <w:rPr>
          <w:rFonts w:eastAsiaTheme="minorHAnsi" w:cstheme="minorHAnsi"/>
          <w:lang w:val="en-GB"/>
        </w:rPr>
      </w:pPr>
    </w:p>
    <w:p w14:paraId="269EEE4F" w14:textId="06F0577A" w:rsidR="00105C7C" w:rsidRPr="00105C7C" w:rsidRDefault="00AD76CC" w:rsidP="00105C7C">
      <w:pPr>
        <w:autoSpaceDE w:val="0"/>
        <w:autoSpaceDN w:val="0"/>
        <w:adjustRightInd w:val="0"/>
        <w:jc w:val="both"/>
        <w:rPr>
          <w:rFonts w:eastAsiaTheme="minorHAnsi" w:cstheme="minorHAnsi"/>
          <w:lang w:val="en-GB"/>
        </w:rPr>
      </w:pPr>
      <w:hyperlink r:id="rId27" w:history="1">
        <w:r w:rsidR="00105C7C" w:rsidRPr="00105C7C">
          <w:rPr>
            <w:rStyle w:val="Hyperlink"/>
            <w:rFonts w:eastAsiaTheme="minorHAnsi" w:cstheme="minorHAnsi"/>
            <w:lang w:val="en-GB"/>
          </w:rPr>
          <w:t>CM/</w:t>
        </w:r>
        <w:proofErr w:type="gramStart"/>
        <w:r w:rsidR="00105C7C" w:rsidRPr="00105C7C">
          <w:rPr>
            <w:rStyle w:val="Hyperlink"/>
            <w:rFonts w:eastAsiaTheme="minorHAnsi" w:cstheme="minorHAnsi"/>
            <w:lang w:val="en-GB"/>
          </w:rPr>
          <w:t>Rec(</w:t>
        </w:r>
        <w:proofErr w:type="gramEnd"/>
        <w:r w:rsidR="00105C7C" w:rsidRPr="00105C7C">
          <w:rPr>
            <w:rStyle w:val="Hyperlink"/>
            <w:rFonts w:eastAsiaTheme="minorHAnsi" w:cstheme="minorHAnsi"/>
            <w:lang w:val="en-GB"/>
          </w:rPr>
          <w:t>2022)4</w:t>
        </w:r>
      </w:hyperlink>
      <w:r w:rsidR="00105C7C" w:rsidRPr="00105C7C">
        <w:rPr>
          <w:rFonts w:eastAsiaTheme="minorHAnsi" w:cstheme="minorHAnsi"/>
          <w:lang w:val="en-GB"/>
        </w:rPr>
        <w:t xml:space="preserve"> on promoting a favourable environment for quality journalism in the digital age </w:t>
      </w:r>
    </w:p>
    <w:p w14:paraId="3A29159C" w14:textId="77777777" w:rsidR="00105C7C" w:rsidRPr="00105C7C" w:rsidRDefault="00105C7C" w:rsidP="00105C7C">
      <w:pPr>
        <w:autoSpaceDE w:val="0"/>
        <w:autoSpaceDN w:val="0"/>
        <w:adjustRightInd w:val="0"/>
        <w:jc w:val="both"/>
        <w:rPr>
          <w:rFonts w:eastAsiaTheme="minorHAnsi" w:cstheme="minorHAnsi"/>
          <w:lang w:val="en-GB"/>
        </w:rPr>
      </w:pPr>
      <w:r w:rsidRPr="00105C7C">
        <w:rPr>
          <w:rFonts w:eastAsiaTheme="minorHAnsi" w:cstheme="minorHAnsi"/>
          <w:lang w:val="en-GB"/>
        </w:rPr>
        <w:t xml:space="preserve">The instrument contains a set of legal, </w:t>
      </w:r>
      <w:proofErr w:type="gramStart"/>
      <w:r w:rsidRPr="00105C7C">
        <w:rPr>
          <w:rFonts w:eastAsiaTheme="minorHAnsi" w:cstheme="minorHAnsi"/>
          <w:lang w:val="en-GB"/>
        </w:rPr>
        <w:t>administrative</w:t>
      </w:r>
      <w:proofErr w:type="gramEnd"/>
      <w:r w:rsidRPr="00105C7C">
        <w:rPr>
          <w:rFonts w:eastAsiaTheme="minorHAnsi" w:cstheme="minorHAnsi"/>
          <w:lang w:val="en-GB"/>
        </w:rPr>
        <w:t xml:space="preserve"> and practical guidelines aimed at ensuring sustainable funding for quality media, building trust in journalism, and promoting media literacy.</w:t>
      </w:r>
    </w:p>
    <w:p w14:paraId="585DFC92" w14:textId="77777777" w:rsidR="00105C7C" w:rsidRDefault="00105C7C" w:rsidP="00105C7C">
      <w:pPr>
        <w:autoSpaceDE w:val="0"/>
        <w:autoSpaceDN w:val="0"/>
        <w:adjustRightInd w:val="0"/>
        <w:jc w:val="both"/>
        <w:rPr>
          <w:rFonts w:eastAsiaTheme="minorHAnsi" w:cstheme="minorHAnsi"/>
          <w:lang w:val="en-GB"/>
        </w:rPr>
      </w:pPr>
    </w:p>
    <w:p w14:paraId="2FE6FAE8" w14:textId="4E8B7D98" w:rsidR="00105C7C" w:rsidRPr="00105C7C" w:rsidRDefault="00AD76CC" w:rsidP="00105C7C">
      <w:pPr>
        <w:autoSpaceDE w:val="0"/>
        <w:autoSpaceDN w:val="0"/>
        <w:adjustRightInd w:val="0"/>
        <w:jc w:val="both"/>
        <w:rPr>
          <w:rFonts w:eastAsiaTheme="minorHAnsi" w:cstheme="minorHAnsi"/>
          <w:lang w:val="en-GB"/>
        </w:rPr>
      </w:pPr>
      <w:hyperlink r:id="rId28" w:history="1">
        <w:r w:rsidR="00105C7C" w:rsidRPr="00105C7C">
          <w:rPr>
            <w:rStyle w:val="Hyperlink"/>
            <w:rFonts w:eastAsiaTheme="minorHAnsi" w:cstheme="minorHAnsi"/>
            <w:lang w:val="en-GB"/>
          </w:rPr>
          <w:t>CM/</w:t>
        </w:r>
        <w:proofErr w:type="gramStart"/>
        <w:r w:rsidR="00105C7C" w:rsidRPr="00105C7C">
          <w:rPr>
            <w:rStyle w:val="Hyperlink"/>
            <w:rFonts w:eastAsiaTheme="minorHAnsi" w:cstheme="minorHAnsi"/>
            <w:lang w:val="en-GB"/>
          </w:rPr>
          <w:t>Rec(</w:t>
        </w:r>
        <w:proofErr w:type="gramEnd"/>
        <w:r w:rsidR="00105C7C" w:rsidRPr="00105C7C">
          <w:rPr>
            <w:rStyle w:val="Hyperlink"/>
            <w:rFonts w:eastAsiaTheme="minorHAnsi" w:cstheme="minorHAnsi"/>
            <w:lang w:val="en-GB"/>
          </w:rPr>
          <w:t>2022)11</w:t>
        </w:r>
      </w:hyperlink>
      <w:r w:rsidR="00105C7C" w:rsidRPr="00105C7C">
        <w:rPr>
          <w:rFonts w:eastAsiaTheme="minorHAnsi" w:cstheme="minorHAnsi"/>
          <w:lang w:val="en-GB"/>
        </w:rPr>
        <w:t xml:space="preserve"> on principles for media and communication governance</w:t>
      </w:r>
    </w:p>
    <w:p w14:paraId="4B34584B" w14:textId="77777777" w:rsidR="00105C7C" w:rsidRPr="00105C7C" w:rsidRDefault="00105C7C" w:rsidP="00105C7C">
      <w:pPr>
        <w:autoSpaceDE w:val="0"/>
        <w:autoSpaceDN w:val="0"/>
        <w:adjustRightInd w:val="0"/>
        <w:jc w:val="both"/>
        <w:rPr>
          <w:rFonts w:eastAsiaTheme="minorHAnsi" w:cstheme="minorHAnsi"/>
          <w:lang w:val="en-GB"/>
        </w:rPr>
      </w:pPr>
      <w:r w:rsidRPr="00105C7C">
        <w:rPr>
          <w:rFonts w:eastAsiaTheme="minorHAnsi" w:cstheme="minorHAnsi"/>
          <w:lang w:val="en-GB"/>
        </w:rPr>
        <w:t xml:space="preserve">The document distils the relevant legal and policy issues into 15 principles, both procedural and substantive, that are to be applied in media and communication governance and provides guidance on how to enact governance mechanisms, building on and updating the existing standards. </w:t>
      </w:r>
    </w:p>
    <w:p w14:paraId="322C100F" w14:textId="77777777" w:rsidR="00105C7C" w:rsidRPr="00105C7C" w:rsidRDefault="00105C7C" w:rsidP="00105C7C">
      <w:pPr>
        <w:autoSpaceDE w:val="0"/>
        <w:autoSpaceDN w:val="0"/>
        <w:adjustRightInd w:val="0"/>
        <w:jc w:val="both"/>
        <w:rPr>
          <w:rFonts w:eastAsiaTheme="minorHAnsi" w:cstheme="minorHAnsi"/>
          <w:lang w:val="en-GB"/>
        </w:rPr>
      </w:pPr>
      <w:r w:rsidRPr="00105C7C">
        <w:rPr>
          <w:rFonts w:eastAsiaTheme="minorHAnsi" w:cstheme="minorHAnsi"/>
          <w:lang w:val="en-GB"/>
        </w:rPr>
        <w:t> </w:t>
      </w:r>
    </w:p>
    <w:p w14:paraId="0A8D03BB" w14:textId="28AF4A67" w:rsidR="00105C7C" w:rsidRPr="00105C7C" w:rsidRDefault="00AD76CC" w:rsidP="00105C7C">
      <w:pPr>
        <w:autoSpaceDE w:val="0"/>
        <w:autoSpaceDN w:val="0"/>
        <w:adjustRightInd w:val="0"/>
        <w:jc w:val="both"/>
        <w:rPr>
          <w:rFonts w:eastAsiaTheme="minorHAnsi" w:cstheme="minorHAnsi"/>
          <w:lang w:val="en-GB"/>
        </w:rPr>
      </w:pPr>
      <w:hyperlink r:id="rId29" w:history="1">
        <w:r w:rsidR="00105C7C" w:rsidRPr="00105C7C">
          <w:rPr>
            <w:rStyle w:val="Hyperlink"/>
            <w:rFonts w:eastAsiaTheme="minorHAnsi" w:cstheme="minorHAnsi"/>
            <w:lang w:val="en-GB"/>
          </w:rPr>
          <w:t>CM/</w:t>
        </w:r>
        <w:proofErr w:type="gramStart"/>
        <w:r w:rsidR="00105C7C" w:rsidRPr="00105C7C">
          <w:rPr>
            <w:rStyle w:val="Hyperlink"/>
            <w:rFonts w:eastAsiaTheme="minorHAnsi" w:cstheme="minorHAnsi"/>
            <w:lang w:val="en-GB"/>
          </w:rPr>
          <w:t>Rec(</w:t>
        </w:r>
        <w:proofErr w:type="gramEnd"/>
        <w:r w:rsidR="00105C7C" w:rsidRPr="00105C7C">
          <w:rPr>
            <w:rStyle w:val="Hyperlink"/>
            <w:rFonts w:eastAsiaTheme="minorHAnsi" w:cstheme="minorHAnsi"/>
            <w:lang w:val="en-GB"/>
          </w:rPr>
          <w:t>2022)12</w:t>
        </w:r>
      </w:hyperlink>
      <w:r w:rsidR="00105C7C" w:rsidRPr="00105C7C">
        <w:rPr>
          <w:rFonts w:eastAsiaTheme="minorHAnsi" w:cstheme="minorHAnsi"/>
          <w:lang w:val="en-GB"/>
        </w:rPr>
        <w:t xml:space="preserve"> on electoral communication and media coverage of election campaigns  </w:t>
      </w:r>
    </w:p>
    <w:p w14:paraId="5ED4C9AA" w14:textId="77777777" w:rsidR="00105C7C" w:rsidRPr="00105C7C" w:rsidRDefault="00105C7C" w:rsidP="00105C7C">
      <w:pPr>
        <w:autoSpaceDE w:val="0"/>
        <w:autoSpaceDN w:val="0"/>
        <w:adjustRightInd w:val="0"/>
        <w:jc w:val="both"/>
        <w:rPr>
          <w:rFonts w:eastAsiaTheme="minorHAnsi" w:cstheme="minorHAnsi"/>
          <w:lang w:val="en-GB"/>
        </w:rPr>
      </w:pPr>
      <w:r w:rsidRPr="00105C7C">
        <w:rPr>
          <w:rFonts w:eastAsiaTheme="minorHAnsi" w:cstheme="minorHAnsi"/>
          <w:lang w:val="en-GB"/>
        </w:rPr>
        <w:t>The document addresses the challenges for the fairness and legitimacy of electoral campaigning that have emerged because of the new formats and digital techniques of online campaigning, focusing on the principles for political advertising online, limits of campaign support, data protection, content regulation and media coverage of campaigns. </w:t>
      </w:r>
    </w:p>
    <w:p w14:paraId="24496975" w14:textId="77777777" w:rsidR="00105C7C" w:rsidRPr="00105C7C" w:rsidRDefault="00105C7C" w:rsidP="00105C7C">
      <w:pPr>
        <w:autoSpaceDE w:val="0"/>
        <w:autoSpaceDN w:val="0"/>
        <w:adjustRightInd w:val="0"/>
        <w:jc w:val="both"/>
        <w:rPr>
          <w:rFonts w:eastAsiaTheme="minorHAnsi" w:cstheme="minorHAnsi"/>
          <w:lang w:val="en-GB"/>
        </w:rPr>
      </w:pPr>
    </w:p>
    <w:p w14:paraId="7CDE2366" w14:textId="67C61154" w:rsidR="00105C7C" w:rsidRPr="00105C7C" w:rsidRDefault="00AD76CC" w:rsidP="00105C7C">
      <w:pPr>
        <w:autoSpaceDE w:val="0"/>
        <w:autoSpaceDN w:val="0"/>
        <w:adjustRightInd w:val="0"/>
        <w:jc w:val="both"/>
        <w:rPr>
          <w:rFonts w:eastAsiaTheme="minorHAnsi" w:cstheme="minorHAnsi"/>
          <w:lang w:val="en-GB"/>
        </w:rPr>
      </w:pPr>
      <w:hyperlink r:id="rId30" w:history="1">
        <w:r w:rsidR="00105C7C" w:rsidRPr="00105C7C">
          <w:rPr>
            <w:rStyle w:val="Hyperlink"/>
            <w:rFonts w:eastAsiaTheme="minorHAnsi" w:cstheme="minorHAnsi"/>
            <w:lang w:val="en-GB"/>
          </w:rPr>
          <w:t>CM/</w:t>
        </w:r>
        <w:proofErr w:type="gramStart"/>
        <w:r w:rsidR="00105C7C" w:rsidRPr="00105C7C">
          <w:rPr>
            <w:rStyle w:val="Hyperlink"/>
            <w:rFonts w:eastAsiaTheme="minorHAnsi" w:cstheme="minorHAnsi"/>
            <w:lang w:val="en-GB"/>
          </w:rPr>
          <w:t>Rec(</w:t>
        </w:r>
        <w:proofErr w:type="gramEnd"/>
        <w:r w:rsidR="00105C7C" w:rsidRPr="00105C7C">
          <w:rPr>
            <w:rStyle w:val="Hyperlink"/>
            <w:rFonts w:eastAsiaTheme="minorHAnsi" w:cstheme="minorHAnsi"/>
            <w:lang w:val="en-GB"/>
          </w:rPr>
          <w:t>2022)13</w:t>
        </w:r>
      </w:hyperlink>
      <w:r w:rsidR="00105C7C" w:rsidRPr="00105C7C">
        <w:rPr>
          <w:rFonts w:eastAsiaTheme="minorHAnsi" w:cstheme="minorHAnsi"/>
          <w:lang w:val="en-GB"/>
        </w:rPr>
        <w:t xml:space="preserve"> on the impacts of digital technologies on freedom of expression</w:t>
      </w:r>
    </w:p>
    <w:p w14:paraId="7100FC35" w14:textId="77777777" w:rsidR="00105C7C" w:rsidRPr="00105C7C" w:rsidRDefault="00105C7C" w:rsidP="00105C7C">
      <w:pPr>
        <w:autoSpaceDE w:val="0"/>
        <w:autoSpaceDN w:val="0"/>
        <w:adjustRightInd w:val="0"/>
        <w:jc w:val="both"/>
        <w:rPr>
          <w:rFonts w:eastAsiaTheme="minorHAnsi" w:cstheme="minorHAnsi"/>
          <w:lang w:val="en-GB"/>
        </w:rPr>
      </w:pPr>
      <w:r w:rsidRPr="00105C7C">
        <w:rPr>
          <w:rFonts w:eastAsiaTheme="minorHAnsi" w:cstheme="minorHAnsi"/>
          <w:lang w:val="en-GB"/>
        </w:rPr>
        <w:t>The instrument formulates the principles and recommendations on how to address the adverse impacts and enhance the positive impacts of digital technologies on freedom of expression in human rights compliant ways.</w:t>
      </w:r>
    </w:p>
    <w:p w14:paraId="4DD87CB5" w14:textId="77777777" w:rsidR="00105C7C" w:rsidRPr="00105C7C" w:rsidRDefault="00105C7C" w:rsidP="00105C7C">
      <w:pPr>
        <w:autoSpaceDE w:val="0"/>
        <w:autoSpaceDN w:val="0"/>
        <w:adjustRightInd w:val="0"/>
        <w:jc w:val="both"/>
        <w:rPr>
          <w:rFonts w:eastAsiaTheme="minorHAnsi" w:cstheme="minorHAnsi"/>
          <w:lang w:val="en-GB"/>
        </w:rPr>
      </w:pPr>
    </w:p>
    <w:p w14:paraId="5DFC2BB3" w14:textId="3493C165" w:rsidR="00105C7C" w:rsidRPr="00105C7C" w:rsidRDefault="00AD76CC" w:rsidP="00105C7C">
      <w:pPr>
        <w:autoSpaceDE w:val="0"/>
        <w:autoSpaceDN w:val="0"/>
        <w:adjustRightInd w:val="0"/>
        <w:jc w:val="both"/>
        <w:rPr>
          <w:rFonts w:eastAsiaTheme="minorHAnsi" w:cstheme="minorHAnsi"/>
          <w:lang w:val="en-GB"/>
        </w:rPr>
      </w:pPr>
      <w:hyperlink r:id="rId31" w:history="1">
        <w:r w:rsidR="00105C7C" w:rsidRPr="00105C7C">
          <w:rPr>
            <w:rStyle w:val="Hyperlink"/>
            <w:rFonts w:eastAsiaTheme="minorHAnsi" w:cstheme="minorHAnsi"/>
            <w:lang w:val="en-GB"/>
          </w:rPr>
          <w:t>CM/</w:t>
        </w:r>
        <w:proofErr w:type="gramStart"/>
        <w:r w:rsidR="00105C7C" w:rsidRPr="00105C7C">
          <w:rPr>
            <w:rStyle w:val="Hyperlink"/>
            <w:rFonts w:eastAsiaTheme="minorHAnsi" w:cstheme="minorHAnsi"/>
            <w:lang w:val="en-GB"/>
          </w:rPr>
          <w:t>Rec(</w:t>
        </w:r>
        <w:proofErr w:type="gramEnd"/>
        <w:r w:rsidR="00105C7C" w:rsidRPr="00105C7C">
          <w:rPr>
            <w:rStyle w:val="Hyperlink"/>
            <w:rFonts w:eastAsiaTheme="minorHAnsi" w:cstheme="minorHAnsi"/>
            <w:lang w:val="en-GB"/>
          </w:rPr>
          <w:t>2022)16</w:t>
        </w:r>
      </w:hyperlink>
      <w:r w:rsidR="00105C7C" w:rsidRPr="00105C7C">
        <w:rPr>
          <w:rFonts w:eastAsiaTheme="minorHAnsi" w:cstheme="minorHAnsi"/>
          <w:lang w:val="en-GB"/>
        </w:rPr>
        <w:t xml:space="preserve"> on combating hate speech</w:t>
      </w:r>
    </w:p>
    <w:p w14:paraId="2E255EC0" w14:textId="42D1DFA2" w:rsidR="00105C7C" w:rsidRDefault="00105C7C" w:rsidP="00105C7C">
      <w:pPr>
        <w:autoSpaceDE w:val="0"/>
        <w:autoSpaceDN w:val="0"/>
        <w:adjustRightInd w:val="0"/>
        <w:jc w:val="both"/>
        <w:rPr>
          <w:rFonts w:eastAsiaTheme="minorHAnsi" w:cstheme="minorHAnsi"/>
          <w:lang w:val="en-GB"/>
        </w:rPr>
      </w:pPr>
      <w:r w:rsidRPr="00105C7C">
        <w:rPr>
          <w:rFonts w:eastAsiaTheme="minorHAnsi" w:cstheme="minorHAnsi"/>
          <w:lang w:val="en-GB"/>
        </w:rPr>
        <w:t xml:space="preserve">The instrument provides a comprehensive legal and policy framework to </w:t>
      </w:r>
      <w:proofErr w:type="gramStart"/>
      <w:r w:rsidRPr="00105C7C">
        <w:rPr>
          <w:rFonts w:eastAsiaTheme="minorHAnsi" w:cstheme="minorHAnsi"/>
          <w:lang w:val="en-GB"/>
        </w:rPr>
        <w:t>prevent</w:t>
      </w:r>
      <w:proofErr w:type="gramEnd"/>
      <w:r w:rsidRPr="00105C7C">
        <w:rPr>
          <w:rFonts w:eastAsiaTheme="minorHAnsi" w:cstheme="minorHAnsi"/>
          <w:lang w:val="en-GB"/>
        </w:rPr>
        <w:t xml:space="preserve"> and fight hate speech online and offline.</w:t>
      </w:r>
    </w:p>
    <w:p w14:paraId="087D2BF0" w14:textId="450B40BF" w:rsidR="00105C7C" w:rsidRDefault="00105C7C" w:rsidP="00105C7C">
      <w:pPr>
        <w:autoSpaceDE w:val="0"/>
        <w:autoSpaceDN w:val="0"/>
        <w:adjustRightInd w:val="0"/>
        <w:jc w:val="both"/>
        <w:rPr>
          <w:rFonts w:eastAsiaTheme="minorHAnsi" w:cstheme="minorHAnsi"/>
          <w:lang w:val="en-GB"/>
        </w:rPr>
      </w:pPr>
    </w:p>
    <w:p w14:paraId="47E6FEF8" w14:textId="5CA2BD11" w:rsidR="00AD76CC" w:rsidRDefault="00AD76CC" w:rsidP="00105C7C">
      <w:pPr>
        <w:rPr>
          <w:lang w:val="en-GB"/>
        </w:rPr>
      </w:pPr>
      <w:r>
        <w:rPr>
          <w:lang w:val="en-GB"/>
        </w:rPr>
        <w:t xml:space="preserve">PACE </w:t>
      </w:r>
    </w:p>
    <w:p w14:paraId="1204DF51" w14:textId="77777777" w:rsidR="00AD76CC" w:rsidRPr="00AD76CC" w:rsidRDefault="00AD76CC" w:rsidP="00AD76CC">
      <w:pPr>
        <w:rPr>
          <w:lang w:val="en-GB"/>
        </w:rPr>
      </w:pPr>
      <w:r w:rsidRPr="00AD76CC">
        <w:rPr>
          <w:lang w:val="en-GB"/>
        </w:rPr>
        <w:t>The control of online communication: a threat to media pluralism, freedom of information and human dignity</w:t>
      </w:r>
    </w:p>
    <w:p w14:paraId="42EADF07" w14:textId="77777777" w:rsidR="00AD76CC" w:rsidRPr="00AD76CC" w:rsidRDefault="00AD76CC" w:rsidP="00AD76CC">
      <w:pPr>
        <w:rPr>
          <w:rStyle w:val="Hyperlink"/>
          <w:rFonts w:cstheme="minorHAnsi"/>
        </w:rPr>
      </w:pPr>
      <w:hyperlink r:id="rId32" w:history="1">
        <w:proofErr w:type="spellStart"/>
        <w:r w:rsidRPr="00AD76CC">
          <w:rPr>
            <w:rStyle w:val="Hyperlink"/>
            <w:rFonts w:cstheme="minorHAnsi"/>
          </w:rPr>
          <w:t>Res</w:t>
        </w:r>
        <w:proofErr w:type="spellEnd"/>
        <w:r w:rsidRPr="00AD76CC">
          <w:rPr>
            <w:rStyle w:val="Hyperlink"/>
            <w:rFonts w:cstheme="minorHAnsi"/>
          </w:rPr>
          <w:t xml:space="preserve"> 2454 (2022)</w:t>
        </w:r>
      </w:hyperlink>
    </w:p>
    <w:p w14:paraId="6356BFB1" w14:textId="77777777" w:rsidR="00AD76CC" w:rsidRDefault="00AD76CC" w:rsidP="00105C7C">
      <w:pPr>
        <w:rPr>
          <w:lang w:val="en-GB"/>
        </w:rPr>
      </w:pPr>
    </w:p>
    <w:p w14:paraId="662EAC5C" w14:textId="7D69336E" w:rsidR="00105C7C" w:rsidRPr="007170BF" w:rsidRDefault="00105C7C" w:rsidP="00105C7C">
      <w:pPr>
        <w:rPr>
          <w:lang w:val="en-US"/>
        </w:rPr>
      </w:pPr>
      <w:r w:rsidRPr="007170BF">
        <w:rPr>
          <w:lang w:val="en-GB"/>
        </w:rPr>
        <w:t>Office of the Commissioner for Human Rights</w:t>
      </w:r>
    </w:p>
    <w:p w14:paraId="5BBFBFD1" w14:textId="422DBBC8" w:rsidR="00105C7C" w:rsidRDefault="00AD76CC" w:rsidP="00105C7C">
      <w:pPr>
        <w:autoSpaceDE w:val="0"/>
        <w:autoSpaceDN w:val="0"/>
        <w:adjustRightInd w:val="0"/>
        <w:jc w:val="both"/>
        <w:rPr>
          <w:rFonts w:cs="Arial"/>
          <w:color w:val="333333"/>
          <w:lang w:val="en-GB"/>
        </w:rPr>
      </w:pPr>
      <w:hyperlink r:id="rId33" w:history="1">
        <w:r w:rsidR="00105C7C" w:rsidRPr="007170BF">
          <w:rPr>
            <w:rStyle w:val="Hyperlink"/>
            <w:lang w:val="en-GB"/>
          </w:rPr>
          <w:t>Not a target – the need to reinforce the safety of journalists covering conflicts</w:t>
        </w:r>
      </w:hyperlink>
      <w:r w:rsidR="00105C7C" w:rsidRPr="007170BF">
        <w:rPr>
          <w:lang w:val="en-GB"/>
        </w:rPr>
        <w:t xml:space="preserve"> - </w:t>
      </w:r>
      <w:r w:rsidR="00105C7C" w:rsidRPr="007170BF">
        <w:rPr>
          <w:rFonts w:cs="Arial"/>
          <w:color w:val="333333"/>
          <w:lang w:val="en-GB"/>
        </w:rPr>
        <w:t>published on 2 May 2022</w:t>
      </w:r>
      <w:r w:rsidR="00105C7C">
        <w:rPr>
          <w:rFonts w:cs="Arial"/>
          <w:color w:val="333333"/>
          <w:lang w:val="en-GB"/>
        </w:rPr>
        <w:t xml:space="preserve"> </w:t>
      </w:r>
    </w:p>
    <w:p w14:paraId="6F89AE03" w14:textId="0FE59870" w:rsidR="00105C7C" w:rsidRDefault="00105C7C" w:rsidP="00105C7C">
      <w:pPr>
        <w:autoSpaceDE w:val="0"/>
        <w:autoSpaceDN w:val="0"/>
        <w:adjustRightInd w:val="0"/>
        <w:jc w:val="both"/>
        <w:rPr>
          <w:rFonts w:cs="Arial"/>
          <w:color w:val="333333"/>
          <w:lang w:val="en-GB"/>
        </w:rPr>
      </w:pPr>
    </w:p>
    <w:p w14:paraId="15377860" w14:textId="77777777" w:rsidR="00105C7C" w:rsidRPr="00105C7C" w:rsidRDefault="00105C7C" w:rsidP="00105C7C">
      <w:pPr>
        <w:rPr>
          <w:lang w:val="en-GB"/>
        </w:rPr>
      </w:pPr>
      <w:r w:rsidRPr="00105C7C">
        <w:rPr>
          <w:lang w:val="en-GB"/>
        </w:rPr>
        <w:t>European Court of Human Rights</w:t>
      </w:r>
    </w:p>
    <w:p w14:paraId="0C11C80E" w14:textId="77777777" w:rsidR="00105C7C" w:rsidRDefault="00105C7C" w:rsidP="00105C7C">
      <w:pPr>
        <w:jc w:val="both"/>
        <w:rPr>
          <w:rFonts w:cstheme="minorHAnsi"/>
          <w:lang w:val="en-GB"/>
        </w:rPr>
      </w:pPr>
      <w:r>
        <w:rPr>
          <w:rFonts w:eastAsiaTheme="minorHAnsi" w:cstheme="minorHAnsi"/>
          <w:lang w:val="en-GB"/>
        </w:rPr>
        <w:t xml:space="preserve">A selection of judgments from the monthly Information Notes, which contain </w:t>
      </w:r>
      <w:r>
        <w:rPr>
          <w:rFonts w:cstheme="minorHAnsi"/>
          <w:lang w:val="en-GB"/>
        </w:rPr>
        <w:t>legal summaries of cases of the Court that are considered of particular interest (January – September 2022) and other judgments of possible interest, either adopted in the period not yet covered by the monthly Information Notes or pertaining to media freedom</w:t>
      </w:r>
    </w:p>
    <w:p w14:paraId="21347803" w14:textId="77777777" w:rsidR="00105C7C" w:rsidRDefault="00105C7C" w:rsidP="00105C7C">
      <w:pPr>
        <w:autoSpaceDE w:val="0"/>
        <w:autoSpaceDN w:val="0"/>
        <w:adjustRightInd w:val="0"/>
        <w:jc w:val="both"/>
        <w:rPr>
          <w:rFonts w:eastAsiaTheme="minorHAnsi" w:cstheme="minorHAnsi"/>
          <w:lang w:val="en-GB"/>
        </w:rPr>
      </w:pPr>
    </w:p>
    <w:p w14:paraId="74ECC408" w14:textId="77777777" w:rsidR="00105C7C" w:rsidRDefault="00105C7C" w:rsidP="00105C7C">
      <w:pPr>
        <w:rPr>
          <w:rFonts w:asciiTheme="majorHAnsi" w:hAnsiTheme="majorHAnsi" w:cstheme="majorHAnsi"/>
          <w:color w:val="000000" w:themeColor="text1"/>
          <w:lang w:val="en-GB"/>
        </w:rPr>
      </w:pPr>
    </w:p>
    <w:p w14:paraId="3A2968E8" w14:textId="77777777" w:rsidR="00105C7C" w:rsidRDefault="00105C7C" w:rsidP="00105C7C">
      <w:pPr>
        <w:rPr>
          <w:rFonts w:asciiTheme="majorHAnsi" w:hAnsiTheme="majorHAnsi" w:cstheme="majorHAnsi"/>
          <w:color w:val="000000" w:themeColor="text1"/>
          <w:lang w:val="en-US"/>
        </w:rPr>
      </w:pPr>
      <w:r>
        <w:rPr>
          <w:rFonts w:asciiTheme="majorHAnsi" w:hAnsiTheme="majorHAnsi" w:cstheme="majorHAnsi"/>
          <w:color w:val="000000" w:themeColor="text1"/>
          <w:lang w:val="en-US"/>
        </w:rPr>
        <w:object w:dxaOrig="1512" w:dyaOrig="984" w14:anchorId="393A861A">
          <v:shape id="_x0000_i1028" type="#_x0000_t75" style="width:75.75pt;height:49.15pt" o:ole="">
            <v:imagedata r:id="rId34" o:title=""/>
          </v:shape>
          <o:OLEObject Type="Embed" ProgID="Word.Document.12" ShapeID="_x0000_i1028" DrawAspect="Icon" ObjectID="_1735643326" r:id="rId35">
            <o:FieldCodes>\s</o:FieldCodes>
          </o:OLEObject>
        </w:object>
      </w:r>
    </w:p>
    <w:p w14:paraId="61AA6BD0" w14:textId="77777777" w:rsidR="00105C7C" w:rsidRDefault="00105C7C" w:rsidP="00105C7C">
      <w:pPr>
        <w:rPr>
          <w:rFonts w:asciiTheme="majorHAnsi" w:hAnsiTheme="majorHAnsi" w:cstheme="majorHAnsi"/>
          <w:color w:val="000000" w:themeColor="text1"/>
          <w:lang w:val="en-US"/>
        </w:rPr>
      </w:pPr>
    </w:p>
    <w:p w14:paraId="61F6FB1A" w14:textId="77777777" w:rsidR="00105C7C" w:rsidRDefault="00105C7C" w:rsidP="00105C7C">
      <w:pPr>
        <w:rPr>
          <w:rFonts w:asciiTheme="majorHAnsi" w:hAnsiTheme="majorHAnsi" w:cstheme="majorHAnsi"/>
          <w:color w:val="000000" w:themeColor="text1"/>
          <w:lang w:val="en-US"/>
        </w:rPr>
      </w:pPr>
    </w:p>
    <w:p w14:paraId="5B0C0DE7" w14:textId="77777777" w:rsidR="00105C7C" w:rsidRDefault="00105C7C" w:rsidP="00105C7C">
      <w:pPr>
        <w:rPr>
          <w:rFonts w:asciiTheme="majorHAnsi" w:hAnsiTheme="majorHAnsi" w:cstheme="majorHAnsi"/>
          <w:color w:val="000000" w:themeColor="text1"/>
          <w:lang w:val="en-US"/>
        </w:rPr>
      </w:pPr>
    </w:p>
    <w:p w14:paraId="787E419D" w14:textId="77777777" w:rsidR="00105C7C" w:rsidRPr="00105C7C" w:rsidRDefault="00105C7C" w:rsidP="00105C7C">
      <w:pPr>
        <w:rPr>
          <w:lang w:val="en-GB"/>
        </w:rPr>
      </w:pPr>
      <w:r w:rsidRPr="00105C7C">
        <w:rPr>
          <w:lang w:val="en-GB"/>
        </w:rPr>
        <w:t>Secretary General</w:t>
      </w:r>
    </w:p>
    <w:p w14:paraId="1EA8170D" w14:textId="77777777" w:rsidR="00105C7C" w:rsidRDefault="00105C7C" w:rsidP="00105C7C">
      <w:pPr>
        <w:jc w:val="both"/>
        <w:rPr>
          <w:rFonts w:cstheme="minorHAnsi"/>
          <w:b/>
          <w:bCs/>
          <w:lang w:val="en-GB"/>
        </w:rPr>
      </w:pPr>
      <w:r>
        <w:rPr>
          <w:rFonts w:cstheme="minorHAnsi"/>
          <w:lang w:val="en-GB"/>
        </w:rPr>
        <w:t>Regular reports of the on trends and threats to freedom of expression:</w:t>
      </w:r>
      <w:r>
        <w:rPr>
          <w:rFonts w:cstheme="minorHAnsi"/>
          <w:b/>
          <w:bCs/>
          <w:lang w:val="en-GB"/>
        </w:rPr>
        <w:t xml:space="preserve"> </w:t>
      </w:r>
      <w:hyperlink r:id="rId36" w:history="1">
        <w:r>
          <w:rPr>
            <w:rStyle w:val="Hyperlink"/>
            <w:rFonts w:cstheme="minorHAnsi"/>
            <w:lang w:val="en-GB"/>
          </w:rPr>
          <w:t>Freedom of political speech: an imperative for democracy</w:t>
        </w:r>
      </w:hyperlink>
      <w:r>
        <w:rPr>
          <w:rFonts w:cstheme="minorHAnsi"/>
          <w:lang w:val="en-GB"/>
        </w:rPr>
        <w:t xml:space="preserve"> (SG/Inf(2022)36, 6 October 2022)</w:t>
      </w:r>
    </w:p>
    <w:p w14:paraId="74B71CE1" w14:textId="77777777" w:rsidR="00105C7C" w:rsidRPr="00920FF8" w:rsidRDefault="00105C7C" w:rsidP="00105C7C">
      <w:pPr>
        <w:rPr>
          <w:lang w:val="en-GB"/>
        </w:rPr>
      </w:pPr>
    </w:p>
    <w:p w14:paraId="2FDBDEFF" w14:textId="77777777" w:rsidR="00105C7C" w:rsidRPr="00105C7C" w:rsidRDefault="00105C7C" w:rsidP="00105C7C">
      <w:pPr>
        <w:rPr>
          <w:lang w:val="en-GB"/>
        </w:rPr>
      </w:pPr>
      <w:r w:rsidRPr="00105C7C">
        <w:rPr>
          <w:lang w:val="en-GB"/>
        </w:rPr>
        <w:t>Platform to promote the protection of journalism and safety of journalists</w:t>
      </w:r>
    </w:p>
    <w:p w14:paraId="2106AED6" w14:textId="77777777" w:rsidR="00105C7C" w:rsidRDefault="00AD76CC" w:rsidP="00105C7C">
      <w:pPr>
        <w:rPr>
          <w:sz w:val="22"/>
          <w:szCs w:val="22"/>
          <w:lang w:val="en-US"/>
        </w:rPr>
      </w:pPr>
      <w:hyperlink r:id="rId37" w:history="1">
        <w:r w:rsidR="00105C7C" w:rsidRPr="004F60B3">
          <w:rPr>
            <w:rStyle w:val="Hyperlink"/>
            <w:sz w:val="22"/>
            <w:szCs w:val="22"/>
            <w:lang w:val="en-US"/>
          </w:rPr>
          <w:t>https://www.coe.int/en/web/media-freedom/ireland</w:t>
        </w:r>
      </w:hyperlink>
    </w:p>
    <w:p w14:paraId="186E0530" w14:textId="77777777" w:rsidR="00105C7C" w:rsidRDefault="00105C7C" w:rsidP="00105C7C">
      <w:pPr>
        <w:rPr>
          <w:sz w:val="22"/>
          <w:szCs w:val="22"/>
          <w:lang w:val="en-US"/>
        </w:rPr>
      </w:pPr>
    </w:p>
    <w:p w14:paraId="4FC9B3D1" w14:textId="77777777" w:rsidR="00105C7C" w:rsidRPr="00105C7C" w:rsidRDefault="00105C7C" w:rsidP="00105C7C">
      <w:pPr>
        <w:rPr>
          <w:lang w:val="en-GB"/>
        </w:rPr>
      </w:pPr>
      <w:r w:rsidRPr="00105C7C">
        <w:rPr>
          <w:lang w:val="en-GB"/>
        </w:rPr>
        <w:t>Media &amp; Internet Governance Division</w:t>
      </w:r>
    </w:p>
    <w:p w14:paraId="0804274E" w14:textId="77777777" w:rsidR="00105C7C" w:rsidRDefault="00105C7C" w:rsidP="00105C7C">
      <w:pPr>
        <w:jc w:val="both"/>
        <w:rPr>
          <w:rFonts w:cstheme="minorHAnsi"/>
          <w:lang w:val="en-GB"/>
        </w:rPr>
      </w:pPr>
      <w:r>
        <w:rPr>
          <w:rFonts w:cstheme="minorHAnsi"/>
          <w:lang w:val="en-GB"/>
        </w:rPr>
        <w:t xml:space="preserve">Compilation of international standards: </w:t>
      </w:r>
      <w:hyperlink r:id="rId38" w:history="1">
        <w:r>
          <w:rPr>
            <w:rStyle w:val="Hyperlink"/>
            <w:rFonts w:cstheme="minorHAnsi"/>
            <w:lang w:val="en-GB"/>
          </w:rPr>
          <w:t>Journalism in situations of conflict and aggression - Principles extracted from the relevant Council of Europe and other international standards</w:t>
        </w:r>
      </w:hyperlink>
    </w:p>
    <w:p w14:paraId="22648EAA" w14:textId="77777777" w:rsidR="00105C7C" w:rsidRDefault="00105C7C" w:rsidP="00105C7C">
      <w:pPr>
        <w:pStyle w:val="Default"/>
        <w:rPr>
          <w:color w:val="auto"/>
          <w:sz w:val="22"/>
          <w:szCs w:val="22"/>
          <w:lang w:val="en-GB"/>
        </w:rPr>
      </w:pPr>
    </w:p>
    <w:p w14:paraId="06C1D37F" w14:textId="77777777" w:rsidR="00105C7C" w:rsidRDefault="00AD76CC" w:rsidP="00105C7C">
      <w:pPr>
        <w:jc w:val="both"/>
        <w:rPr>
          <w:rFonts w:cstheme="minorHAnsi"/>
          <w:lang w:val="en-GB"/>
        </w:rPr>
      </w:pPr>
      <w:hyperlink r:id="rId39" w:history="1">
        <w:r w:rsidR="00105C7C">
          <w:rPr>
            <w:rStyle w:val="Hyperlink"/>
            <w:rFonts w:cstheme="minorHAnsi"/>
            <w:lang w:val="en-GB"/>
          </w:rPr>
          <w:t>Digest</w:t>
        </w:r>
      </w:hyperlink>
      <w:r w:rsidR="00105C7C">
        <w:rPr>
          <w:rFonts w:cstheme="minorHAnsi"/>
          <w:lang w:val="en-GB"/>
        </w:rPr>
        <w:t xml:space="preserve"> of the Council of Europe Standards on Public Service Media</w:t>
      </w:r>
    </w:p>
    <w:p w14:paraId="54DB6A67" w14:textId="77777777" w:rsidR="00105C7C" w:rsidRDefault="00105C7C" w:rsidP="00105C7C">
      <w:pPr>
        <w:jc w:val="both"/>
        <w:rPr>
          <w:rFonts w:cstheme="minorHAnsi"/>
          <w:lang w:val="en-GB"/>
        </w:rPr>
      </w:pPr>
    </w:p>
    <w:p w14:paraId="7615B12A" w14:textId="58D1C78A" w:rsidR="00105C7C" w:rsidRPr="00105C7C" w:rsidRDefault="00AD76CC" w:rsidP="00105C7C">
      <w:pPr>
        <w:autoSpaceDE w:val="0"/>
        <w:autoSpaceDN w:val="0"/>
        <w:adjustRightInd w:val="0"/>
        <w:jc w:val="both"/>
        <w:rPr>
          <w:rFonts w:eastAsiaTheme="minorHAnsi" w:cstheme="minorHAnsi"/>
          <w:lang w:val="en-GB"/>
        </w:rPr>
      </w:pPr>
      <w:hyperlink r:id="rId40" w:history="1">
        <w:r w:rsidR="00105C7C">
          <w:rPr>
            <w:rStyle w:val="Hyperlink"/>
            <w:rFonts w:eastAsiaTheme="minorHAnsi" w:cstheme="minorHAnsi"/>
            <w:lang w:val="en-GB"/>
          </w:rPr>
          <w:t>Conclusions</w:t>
        </w:r>
      </w:hyperlink>
      <w:r w:rsidR="00105C7C">
        <w:rPr>
          <w:rFonts w:eastAsiaTheme="minorHAnsi" w:cstheme="minorHAnsi"/>
          <w:lang w:val="en-GB"/>
        </w:rPr>
        <w:t xml:space="preserve"> of the Conference Public Service Media for Democracy, Vilnius, November 2022</w:t>
      </w:r>
    </w:p>
    <w:p w14:paraId="21202DDB" w14:textId="77777777" w:rsidR="00105C7C" w:rsidRPr="00105C7C" w:rsidRDefault="00105C7C" w:rsidP="00105C7C">
      <w:pPr>
        <w:rPr>
          <w:rFonts w:asciiTheme="majorHAnsi" w:eastAsiaTheme="majorEastAsia" w:hAnsiTheme="majorHAnsi" w:cstheme="majorBidi"/>
          <w:color w:val="2F5496" w:themeColor="accent1" w:themeShade="BF"/>
          <w:sz w:val="32"/>
          <w:szCs w:val="32"/>
          <w:lang w:val="en-US"/>
        </w:rPr>
      </w:pPr>
    </w:p>
    <w:p w14:paraId="283270E2" w14:textId="0048583A" w:rsidR="00105C7C" w:rsidRDefault="00105C7C" w:rsidP="00105C7C">
      <w:pPr>
        <w:rPr>
          <w:rFonts w:asciiTheme="majorHAnsi" w:eastAsiaTheme="majorEastAsia" w:hAnsiTheme="majorHAnsi" w:cstheme="majorBidi"/>
          <w:color w:val="2F5496" w:themeColor="accent1" w:themeShade="BF"/>
          <w:sz w:val="32"/>
          <w:szCs w:val="32"/>
          <w:lang w:val="en-US"/>
        </w:rPr>
      </w:pPr>
      <w:r>
        <w:rPr>
          <w:rFonts w:asciiTheme="majorHAnsi" w:eastAsiaTheme="majorEastAsia" w:hAnsiTheme="majorHAnsi" w:cstheme="majorBidi"/>
          <w:color w:val="2F5496" w:themeColor="accent1" w:themeShade="BF"/>
          <w:sz w:val="32"/>
          <w:szCs w:val="32"/>
          <w:lang w:val="en-US"/>
        </w:rPr>
        <w:t>IV O</w:t>
      </w:r>
      <w:r w:rsidRPr="00105C7C">
        <w:rPr>
          <w:rFonts w:asciiTheme="majorHAnsi" w:eastAsiaTheme="majorEastAsia" w:hAnsiTheme="majorHAnsi" w:cstheme="majorBidi"/>
          <w:color w:val="2F5496" w:themeColor="accent1" w:themeShade="BF"/>
          <w:sz w:val="32"/>
          <w:szCs w:val="32"/>
          <w:lang w:val="en-US"/>
        </w:rPr>
        <w:t>ther institutional issues related to checks and balances</w:t>
      </w:r>
    </w:p>
    <w:p w14:paraId="726D54E7" w14:textId="675F05B9" w:rsidR="00105C7C" w:rsidRDefault="00105C7C" w:rsidP="00105C7C">
      <w:pPr>
        <w:rPr>
          <w:rFonts w:asciiTheme="majorHAnsi" w:eastAsiaTheme="majorEastAsia" w:hAnsiTheme="majorHAnsi" w:cstheme="majorBidi"/>
          <w:color w:val="2F5496" w:themeColor="accent1" w:themeShade="BF"/>
          <w:sz w:val="32"/>
          <w:szCs w:val="32"/>
          <w:lang w:val="en-US"/>
        </w:rPr>
      </w:pPr>
    </w:p>
    <w:p w14:paraId="41EF0387" w14:textId="676E8AF5" w:rsidR="00105C7C" w:rsidRDefault="00105C7C" w:rsidP="00105C7C">
      <w:pPr>
        <w:pStyle w:val="Heading2"/>
        <w:shd w:val="clear" w:color="auto" w:fill="FFFFFF"/>
        <w:spacing w:before="0"/>
        <w:rPr>
          <w:rFonts w:asciiTheme="minorHAnsi" w:hAnsiTheme="minorHAnsi" w:cstheme="minorHAnsi"/>
          <w:color w:val="auto"/>
          <w:sz w:val="20"/>
          <w:szCs w:val="20"/>
          <w:lang w:val="en-US"/>
        </w:rPr>
      </w:pPr>
      <w:r>
        <w:rPr>
          <w:rFonts w:asciiTheme="minorHAnsi" w:hAnsiTheme="minorHAnsi" w:cstheme="minorHAnsi"/>
          <w:color w:val="auto"/>
          <w:sz w:val="20"/>
          <w:szCs w:val="20"/>
          <w:lang w:val="en-US"/>
        </w:rPr>
        <w:t>PACE</w:t>
      </w:r>
    </w:p>
    <w:p w14:paraId="0BC15CD3" w14:textId="00E3E5AE" w:rsidR="00105C7C" w:rsidRPr="007170BF" w:rsidRDefault="00105C7C" w:rsidP="00105C7C">
      <w:pPr>
        <w:pStyle w:val="Heading2"/>
        <w:shd w:val="clear" w:color="auto" w:fill="FFFFFF"/>
        <w:spacing w:before="0"/>
        <w:rPr>
          <w:rFonts w:asciiTheme="minorHAnsi" w:hAnsiTheme="minorHAnsi" w:cstheme="minorHAnsi"/>
          <w:color w:val="auto"/>
          <w:sz w:val="20"/>
          <w:szCs w:val="20"/>
          <w:lang w:val="en-US"/>
        </w:rPr>
      </w:pPr>
      <w:r w:rsidRPr="007170BF">
        <w:rPr>
          <w:rFonts w:asciiTheme="minorHAnsi" w:hAnsiTheme="minorHAnsi" w:cstheme="minorHAnsi"/>
          <w:color w:val="auto"/>
          <w:sz w:val="20"/>
          <w:szCs w:val="20"/>
          <w:lang w:val="en-US"/>
        </w:rPr>
        <w:t xml:space="preserve">The impact of the Covid-19 restrictions for civil society space and activities </w:t>
      </w:r>
    </w:p>
    <w:p w14:paraId="3036F117" w14:textId="77777777" w:rsidR="00105C7C" w:rsidRDefault="00AD76CC" w:rsidP="00105C7C">
      <w:pPr>
        <w:pStyle w:val="Default"/>
        <w:rPr>
          <w:sz w:val="20"/>
          <w:szCs w:val="20"/>
          <w:u w:val="single"/>
        </w:rPr>
      </w:pPr>
      <w:hyperlink r:id="rId41" w:anchor="trace-4" w:history="1">
        <w:proofErr w:type="spellStart"/>
        <w:r w:rsidR="00105C7C" w:rsidRPr="007170BF">
          <w:rPr>
            <w:rStyle w:val="Hyperlink"/>
            <w:sz w:val="20"/>
            <w:szCs w:val="20"/>
          </w:rPr>
          <w:t>Res</w:t>
        </w:r>
        <w:proofErr w:type="spellEnd"/>
        <w:r w:rsidR="00105C7C" w:rsidRPr="007170BF">
          <w:rPr>
            <w:rStyle w:val="Hyperlink"/>
            <w:sz w:val="20"/>
            <w:szCs w:val="20"/>
          </w:rPr>
          <w:t xml:space="preserve"> 2471 (2022)</w:t>
        </w:r>
      </w:hyperlink>
      <w:r w:rsidR="00105C7C" w:rsidRPr="007170BF">
        <w:rPr>
          <w:sz w:val="20"/>
          <w:szCs w:val="20"/>
        </w:rPr>
        <w:t xml:space="preserve">, </w:t>
      </w:r>
      <w:hyperlink r:id="rId42" w:history="1">
        <w:r w:rsidR="00105C7C" w:rsidRPr="007170BF">
          <w:rPr>
            <w:rStyle w:val="Hyperlink"/>
            <w:sz w:val="20"/>
            <w:szCs w:val="20"/>
          </w:rPr>
          <w:t>Rec 2241 (2022)</w:t>
        </w:r>
      </w:hyperlink>
    </w:p>
    <w:p w14:paraId="436B7056" w14:textId="77777777" w:rsidR="00105C7C" w:rsidRPr="00105C7C" w:rsidRDefault="00105C7C" w:rsidP="00105C7C">
      <w:pPr>
        <w:rPr>
          <w:rFonts w:asciiTheme="majorHAnsi" w:eastAsiaTheme="majorEastAsia" w:hAnsiTheme="majorHAnsi" w:cstheme="majorBidi"/>
          <w:color w:val="2F5496" w:themeColor="accent1" w:themeShade="BF"/>
          <w:sz w:val="32"/>
          <w:szCs w:val="32"/>
          <w:lang w:val="en-US"/>
        </w:rPr>
      </w:pPr>
    </w:p>
    <w:sectPr w:rsidR="00105C7C" w:rsidRPr="00105C7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A85205"/>
    <w:multiLevelType w:val="hybridMultilevel"/>
    <w:tmpl w:val="C56AE67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2C3348FD"/>
    <w:multiLevelType w:val="hybridMultilevel"/>
    <w:tmpl w:val="E66E9ED6"/>
    <w:lvl w:ilvl="0" w:tplc="FEDAACE6">
      <w:start w:val="1"/>
      <w:numFmt w:val="bullet"/>
      <w:pStyle w:val="COEHI"/>
      <w:lvlText w:val="–"/>
      <w:lvlJc w:val="left"/>
      <w:pPr>
        <w:tabs>
          <w:tab w:val="num" w:pos="960"/>
        </w:tabs>
        <w:ind w:left="960" w:hanging="480"/>
      </w:pPr>
      <w:rPr>
        <w:rFonts w:ascii="Times New Roman" w:hAnsi="Times New Roman" w:cs="Times New Roman" w:hint="default"/>
        <w:lang w:val="fr-FR"/>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6C27BB8"/>
    <w:multiLevelType w:val="hybridMultilevel"/>
    <w:tmpl w:val="1A4EABD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646477714">
    <w:abstractNumId w:val="1"/>
  </w:num>
  <w:num w:numId="2" w16cid:durableId="567544630">
    <w:abstractNumId w:val="0"/>
  </w:num>
  <w:num w:numId="3" w16cid:durableId="13521503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5C7C"/>
    <w:rsid w:val="00105C7C"/>
    <w:rsid w:val="00AC3636"/>
    <w:rsid w:val="00AD76C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05DA59BC"/>
  <w15:chartTrackingRefBased/>
  <w15:docId w15:val="{D61DF7AA-D746-4F85-A609-2B7ECF5F5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5C7C"/>
    <w:pPr>
      <w:spacing w:after="0" w:line="240" w:lineRule="auto"/>
    </w:pPr>
    <w:rPr>
      <w:rFonts w:eastAsiaTheme="minorEastAsia"/>
      <w:sz w:val="20"/>
      <w:szCs w:val="20"/>
    </w:rPr>
  </w:style>
  <w:style w:type="paragraph" w:styleId="Heading2">
    <w:name w:val="heading 2"/>
    <w:basedOn w:val="Normal"/>
    <w:next w:val="Normal"/>
    <w:link w:val="Heading2Char"/>
    <w:uiPriority w:val="9"/>
    <w:unhideWhenUsed/>
    <w:qFormat/>
    <w:rsid w:val="00105C7C"/>
    <w:pPr>
      <w:keepNext/>
      <w:keepLines/>
      <w:spacing w:before="80"/>
      <w:outlineLvl w:val="1"/>
    </w:pPr>
    <w:rPr>
      <w:rFonts w:asciiTheme="majorHAnsi" w:eastAsiaTheme="majorEastAsia" w:hAnsiTheme="majorHAnsi" w:cstheme="majorBidi"/>
      <w:color w:val="404040" w:themeColor="text1" w:themeTint="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05C7C"/>
    <w:pPr>
      <w:spacing w:after="0" w:line="240" w:lineRule="auto"/>
    </w:pPr>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105C7C"/>
    <w:pPr>
      <w:numPr>
        <w:ilvl w:val="1"/>
      </w:numP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105C7C"/>
    <w:rPr>
      <w:rFonts w:asciiTheme="majorHAnsi" w:eastAsiaTheme="majorEastAsia" w:hAnsiTheme="majorHAnsi" w:cstheme="majorBidi"/>
      <w:sz w:val="24"/>
      <w:szCs w:val="24"/>
    </w:rPr>
  </w:style>
  <w:style w:type="paragraph" w:styleId="ListParagraph">
    <w:name w:val="List Paragraph"/>
    <w:basedOn w:val="Normal"/>
    <w:link w:val="ListParagraphChar"/>
    <w:uiPriority w:val="34"/>
    <w:qFormat/>
    <w:rsid w:val="00105C7C"/>
    <w:pPr>
      <w:ind w:left="720"/>
      <w:contextualSpacing/>
    </w:pPr>
  </w:style>
  <w:style w:type="character" w:styleId="Hyperlink">
    <w:name w:val="Hyperlink"/>
    <w:uiPriority w:val="99"/>
    <w:unhideWhenUsed/>
    <w:rsid w:val="00105C7C"/>
    <w:rPr>
      <w:color w:val="F49100"/>
      <w:u w:val="single"/>
    </w:rPr>
  </w:style>
  <w:style w:type="character" w:customStyle="1" w:styleId="ListParagraphChar">
    <w:name w:val="List Paragraph Char"/>
    <w:link w:val="ListParagraph"/>
    <w:uiPriority w:val="34"/>
    <w:locked/>
    <w:rsid w:val="00105C7C"/>
    <w:rPr>
      <w:rFonts w:eastAsiaTheme="minorEastAsia"/>
      <w:sz w:val="20"/>
      <w:szCs w:val="20"/>
    </w:rPr>
  </w:style>
  <w:style w:type="paragraph" w:customStyle="1" w:styleId="Default">
    <w:name w:val="Default"/>
    <w:rsid w:val="00105C7C"/>
    <w:pPr>
      <w:autoSpaceDE w:val="0"/>
      <w:autoSpaceDN w:val="0"/>
      <w:adjustRightInd w:val="0"/>
      <w:spacing w:after="0" w:line="240" w:lineRule="auto"/>
    </w:pPr>
    <w:rPr>
      <w:rFonts w:ascii="Calibri" w:hAnsi="Calibri" w:cs="Calibri"/>
      <w:color w:val="000000"/>
      <w:sz w:val="24"/>
      <w:szCs w:val="24"/>
    </w:rPr>
  </w:style>
  <w:style w:type="paragraph" w:styleId="NoSpacing">
    <w:name w:val="No Spacing"/>
    <w:uiPriority w:val="1"/>
    <w:qFormat/>
    <w:rsid w:val="00105C7C"/>
    <w:pPr>
      <w:spacing w:after="0" w:line="240" w:lineRule="auto"/>
    </w:pPr>
    <w:rPr>
      <w:rFonts w:eastAsiaTheme="minorEastAsia"/>
      <w:sz w:val="20"/>
      <w:szCs w:val="20"/>
    </w:rPr>
  </w:style>
  <w:style w:type="paragraph" w:customStyle="1" w:styleId="COEHI">
    <w:name w:val="COE_HI"/>
    <w:basedOn w:val="Normal"/>
    <w:qFormat/>
    <w:rsid w:val="00105C7C"/>
    <w:pPr>
      <w:numPr>
        <w:numId w:val="1"/>
      </w:numPr>
      <w:tabs>
        <w:tab w:val="left" w:pos="482"/>
      </w:tabs>
      <w:spacing w:line="240" w:lineRule="exact"/>
      <w:jc w:val="both"/>
    </w:pPr>
    <w:rPr>
      <w:rFonts w:ascii="Times New Roman" w:eastAsia="Times New Roman" w:hAnsi="Times New Roman" w:cs="Times New Roman"/>
      <w:color w:val="000000"/>
      <w:kern w:val="16"/>
      <w:sz w:val="21"/>
      <w:szCs w:val="24"/>
      <w:lang w:eastAsia="fr-FR"/>
    </w:rPr>
  </w:style>
  <w:style w:type="paragraph" w:customStyle="1" w:styleId="COEHeading2bis">
    <w:name w:val="COE_Heading2bis"/>
    <w:basedOn w:val="Normal"/>
    <w:qFormat/>
    <w:rsid w:val="00105C7C"/>
    <w:pPr>
      <w:keepNext/>
      <w:tabs>
        <w:tab w:val="left" w:pos="480"/>
      </w:tabs>
      <w:spacing w:before="240" w:after="240" w:line="240" w:lineRule="exact"/>
      <w:ind w:firstLine="482"/>
      <w:jc w:val="center"/>
    </w:pPr>
    <w:rPr>
      <w:rFonts w:ascii="Times New Roman" w:eastAsia="Times New Roman" w:hAnsi="Times New Roman" w:cs="Times New Roman"/>
      <w:caps/>
      <w:color w:val="000000"/>
      <w:kern w:val="16"/>
      <w:sz w:val="18"/>
      <w:szCs w:val="24"/>
      <w:lang w:eastAsia="fr-FR"/>
    </w:rPr>
  </w:style>
  <w:style w:type="paragraph" w:customStyle="1" w:styleId="COEHeading4">
    <w:name w:val="COE_Heading4"/>
    <w:basedOn w:val="Normal"/>
    <w:next w:val="Normal"/>
    <w:rsid w:val="00105C7C"/>
    <w:pPr>
      <w:keepNext/>
      <w:suppressAutoHyphens/>
      <w:spacing w:before="240" w:after="240" w:line="240" w:lineRule="exact"/>
      <w:ind w:left="1134" w:right="1134"/>
      <w:jc w:val="center"/>
    </w:pPr>
    <w:rPr>
      <w:rFonts w:ascii="Times New Roman" w:eastAsia="Times New Roman" w:hAnsi="Times New Roman" w:cs="Times New Roman"/>
      <w:b/>
      <w:color w:val="000000"/>
      <w:kern w:val="16"/>
      <w:sz w:val="21"/>
      <w:szCs w:val="21"/>
      <w:lang w:val="en-GB" w:eastAsia="fr-FR"/>
    </w:rPr>
  </w:style>
  <w:style w:type="paragraph" w:customStyle="1" w:styleId="xmsonormal">
    <w:name w:val="x_msonormal"/>
    <w:basedOn w:val="Normal"/>
    <w:rsid w:val="00105C7C"/>
    <w:rPr>
      <w:rFonts w:ascii="Calibri" w:eastAsiaTheme="minorHAnsi" w:hAnsi="Calibri" w:cs="Calibri"/>
      <w:sz w:val="22"/>
      <w:szCs w:val="22"/>
      <w:lang w:eastAsia="fr-FR"/>
    </w:rPr>
  </w:style>
  <w:style w:type="paragraph" w:customStyle="1" w:styleId="xxxxxmsonormal">
    <w:name w:val="x_x_x_x_xmsonormal"/>
    <w:basedOn w:val="Normal"/>
    <w:rsid w:val="00105C7C"/>
    <w:pPr>
      <w:spacing w:before="100" w:beforeAutospacing="1" w:after="100" w:afterAutospacing="1"/>
    </w:pPr>
    <w:rPr>
      <w:rFonts w:ascii="Calibri" w:eastAsiaTheme="minorHAnsi" w:hAnsi="Calibri" w:cs="Calibri"/>
      <w:sz w:val="22"/>
      <w:szCs w:val="22"/>
      <w:lang w:eastAsia="fr-FR"/>
    </w:rPr>
  </w:style>
  <w:style w:type="character" w:customStyle="1" w:styleId="Heading2Char">
    <w:name w:val="Heading 2 Char"/>
    <w:basedOn w:val="DefaultParagraphFont"/>
    <w:link w:val="Heading2"/>
    <w:uiPriority w:val="9"/>
    <w:rsid w:val="00105C7C"/>
    <w:rPr>
      <w:rFonts w:asciiTheme="majorHAnsi" w:eastAsiaTheme="majorEastAsia" w:hAnsiTheme="majorHAnsi" w:cstheme="majorBidi"/>
      <w:color w:val="404040" w:themeColor="text1" w:themeTint="BF"/>
      <w:sz w:val="28"/>
      <w:szCs w:val="28"/>
    </w:rPr>
  </w:style>
  <w:style w:type="character" w:styleId="FollowedHyperlink">
    <w:name w:val="FollowedHyperlink"/>
    <w:basedOn w:val="DefaultParagraphFont"/>
    <w:uiPriority w:val="99"/>
    <w:semiHidden/>
    <w:unhideWhenUsed/>
    <w:rsid w:val="00105C7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e.int/en/web/cepej/dynamic-database-of-european-judicial-systems" TargetMode="External"/><Relationship Id="rId13" Type="http://schemas.openxmlformats.org/officeDocument/2006/relationships/hyperlink" Target="https://rm.coe.int/cdcj-2022-01-evaluation-report-on-recommendation-cmrec-2014-7p/1680a6fee1" TargetMode="External"/><Relationship Id="rId18" Type="http://schemas.openxmlformats.org/officeDocument/2006/relationships/hyperlink" Target="https://help.elearning.ext.coe.int/course/view.php?id=5574" TargetMode="External"/><Relationship Id="rId26" Type="http://schemas.openxmlformats.org/officeDocument/2006/relationships/hyperlink" Target="https://rm.coe.int/greco-general-activity-report-2021/1680a6bb79" TargetMode="External"/><Relationship Id="rId39" Type="http://schemas.openxmlformats.org/officeDocument/2006/relationships/hyperlink" Target="https://www.coe.int/en/web/freedom-expression/digest-council-of-europe-standards-on-public-service-media" TargetMode="External"/><Relationship Id="rId3" Type="http://schemas.openxmlformats.org/officeDocument/2006/relationships/settings" Target="settings.xml"/><Relationship Id="rId21" Type="http://schemas.openxmlformats.org/officeDocument/2006/relationships/package" Target="embeddings/Microsoft_Word_Document1.docx"/><Relationship Id="rId34" Type="http://schemas.openxmlformats.org/officeDocument/2006/relationships/image" Target="media/image5.emf"/><Relationship Id="rId42" Type="http://schemas.openxmlformats.org/officeDocument/2006/relationships/hyperlink" Target="https://pace.coe.int/en/files/31441" TargetMode="External"/><Relationship Id="rId7" Type="http://schemas.openxmlformats.org/officeDocument/2006/relationships/hyperlink" Target="https://rm.coe.int/cepej-fiche-pays-2020-22-e-web/1680a86276" TargetMode="External"/><Relationship Id="rId12" Type="http://schemas.openxmlformats.org/officeDocument/2006/relationships/hyperlink" Target="https://www.coe.int/en/web/cdcj/-/report-on-the-review-of-the-implementation-of-the-council-of-europe-plan-of-action-on-strengthening-judicial-independence-and-impartiality" TargetMode="External"/><Relationship Id="rId17" Type="http://schemas.openxmlformats.org/officeDocument/2006/relationships/hyperlink" Target="https://ec.europa.eu/info/sites/default/files/2_en_act_part1_v4_0.pdf" TargetMode="External"/><Relationship Id="rId25" Type="http://schemas.openxmlformats.org/officeDocument/2006/relationships/package" Target="embeddings/Microsoft_Word_Document2.docx"/><Relationship Id="rId33" Type="http://schemas.openxmlformats.org/officeDocument/2006/relationships/hyperlink" Target="https://www.coe.int/en/web/commissioner/-/not-a-target-the-need-to-reinforce-the-safety-of-journalists-covering-conflicts" TargetMode="External"/><Relationship Id="rId38" Type="http://schemas.openxmlformats.org/officeDocument/2006/relationships/hyperlink" Target="https://rm.coe.int/compilation-of-coe-standards-relating-to-journalism-in-situations-of-c/1680a5b775" TargetMode="External"/><Relationship Id="rId2" Type="http://schemas.openxmlformats.org/officeDocument/2006/relationships/styles" Target="styles.xml"/><Relationship Id="rId16" Type="http://schemas.openxmlformats.org/officeDocument/2006/relationships/hyperlink" Target="https://rm.coe.int/greco-general-activity-report-2021/1680a6bb79" TargetMode="External"/><Relationship Id="rId20" Type="http://schemas.openxmlformats.org/officeDocument/2006/relationships/image" Target="media/image3.emf"/><Relationship Id="rId29" Type="http://schemas.openxmlformats.org/officeDocument/2006/relationships/hyperlink" Target="https://search.coe.int/cm/Pages/result_details.aspx?ObjectId=0900001680a6172e" TargetMode="External"/><Relationship Id="rId41" Type="http://schemas.openxmlformats.org/officeDocument/2006/relationships/hyperlink" Target="https://pace.coe.int/en/files/31440" TargetMode="External"/><Relationship Id="rId1" Type="http://schemas.openxmlformats.org/officeDocument/2006/relationships/numbering" Target="numbering.xml"/><Relationship Id="rId6" Type="http://schemas.openxmlformats.org/officeDocument/2006/relationships/hyperlink" Target="https://rm.coe.int/cepej-report-2020-22-e-web/1680a86279" TargetMode="External"/><Relationship Id="rId11" Type="http://schemas.openxmlformats.org/officeDocument/2006/relationships/package" Target="embeddings/Microsoft_Word_Document.docx"/><Relationship Id="rId24" Type="http://schemas.openxmlformats.org/officeDocument/2006/relationships/image" Target="media/image4.emf"/><Relationship Id="rId32" Type="http://schemas.openxmlformats.org/officeDocument/2006/relationships/hyperlink" Target="https://pace.coe.int/fr/files/30209/html" TargetMode="External"/><Relationship Id="rId37" Type="http://schemas.openxmlformats.org/officeDocument/2006/relationships/hyperlink" Target="https://www.coe.int/en/web/media-freedom/ireland" TargetMode="External"/><Relationship Id="rId40" Type="http://schemas.openxmlformats.org/officeDocument/2006/relationships/hyperlink" Target="https://rm.coe.int/psm-2022-conference-conclusions-fin-en/1680a91bee" TargetMode="External"/><Relationship Id="rId5" Type="http://schemas.openxmlformats.org/officeDocument/2006/relationships/image" Target="media/image1.png"/><Relationship Id="rId15" Type="http://schemas.openxmlformats.org/officeDocument/2006/relationships/hyperlink" Target="https://rm.coe.int/opinion-no-17-2022-en/1680a875de" TargetMode="External"/><Relationship Id="rId23" Type="http://schemas.openxmlformats.org/officeDocument/2006/relationships/hyperlink" Target="https://pace.coe.int/en/files/31443" TargetMode="External"/><Relationship Id="rId28" Type="http://schemas.openxmlformats.org/officeDocument/2006/relationships/hyperlink" Target="https://search.coe.int/cm/Pages/result_details.aspx?ObjectId=0900001680a61712" TargetMode="External"/><Relationship Id="rId36" Type="http://schemas.openxmlformats.org/officeDocument/2006/relationships/hyperlink" Target="https://search.coe.int/cm/Pages/result_details.aspx?ObjectId=0900001680a86af5" TargetMode="External"/><Relationship Id="rId10" Type="http://schemas.openxmlformats.org/officeDocument/2006/relationships/image" Target="media/image2.emf"/><Relationship Id="rId19" Type="http://schemas.openxmlformats.org/officeDocument/2006/relationships/hyperlink" Target="https://rm.coe.int/210426-jeth-course-brief/1680a24751" TargetMode="External"/><Relationship Id="rId31" Type="http://schemas.openxmlformats.org/officeDocument/2006/relationships/hyperlink" Target="https://search.coe.int/cm/Pages/result_details.aspx?ObjectId=0900001680a67955"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Muriel.decot@coe.int/christel.schurrer@coe.int" TargetMode="External"/><Relationship Id="rId14" Type="http://schemas.openxmlformats.org/officeDocument/2006/relationships/hyperlink" Target="https://rm.coe.int/opinion-no-25-2022-final/1680a973ef%0A%0A" TargetMode="External"/><Relationship Id="rId22" Type="http://schemas.openxmlformats.org/officeDocument/2006/relationships/hyperlink" Target="https://pace.coe.int/en/files/31442" TargetMode="External"/><Relationship Id="rId27" Type="http://schemas.openxmlformats.org/officeDocument/2006/relationships/hyperlink" Target="https://search.coe.int/cm/pages/result_details.aspx?objectid=0900001680a5ddd0" TargetMode="External"/><Relationship Id="rId30" Type="http://schemas.openxmlformats.org/officeDocument/2006/relationships/hyperlink" Target="https://search.coe.int/cm/Pages/result_details.aspx?ObjectId=0900001680a61729" TargetMode="External"/><Relationship Id="rId35" Type="http://schemas.openxmlformats.org/officeDocument/2006/relationships/package" Target="embeddings/Microsoft_Word_Document3.docx"/><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1626</Words>
  <Characters>8948</Characters>
  <Application>Microsoft Office Word</Application>
  <DocSecurity>0</DocSecurity>
  <Lines>74</Lines>
  <Paragraphs>21</Paragraphs>
  <ScaleCrop>false</ScaleCrop>
  <Company/>
  <LinksUpToDate>false</LinksUpToDate>
  <CharactersWithSpaces>10553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Katarina NEDELJKOVIC</dc:creator>
  <cp:keywords/>
  <dc:description/>
  <cp:lastModifiedBy>NEDELJKOVIC Katarina</cp:lastModifiedBy>
  <cp:revision>3</cp:revision>
  <dcterms:created xsi:type="dcterms:W3CDTF">2023-01-19T12:55:00Z</dcterms:created>
  <dcterms:modified xsi:type="dcterms:W3CDTF">2023-01-19T13:22:00Z</dcterms:modified>
</cp:coreProperties>
</file>